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1EE" w:rsidRPr="00144232" w:rsidRDefault="00144232" w:rsidP="00C40B5D">
      <w:pPr>
        <w:bidi w:val="0"/>
        <w:rPr>
          <w:b/>
          <w:bCs/>
        </w:rPr>
      </w:pPr>
      <w:r w:rsidRPr="00144232">
        <w:rPr>
          <w:b/>
          <w:bCs/>
        </w:rPr>
        <w:t xml:space="preserve">Action Item </w:t>
      </w:r>
      <w:r w:rsidR="00C40B5D" w:rsidRPr="00144232">
        <w:rPr>
          <w:b/>
          <w:bCs/>
        </w:rPr>
        <w:t>ATTL-10: GRUAN</w:t>
      </w:r>
    </w:p>
    <w:p w:rsidR="00C40B5D" w:rsidRDefault="00C40B5D" w:rsidP="00C40B5D">
      <w:pPr>
        <w:bidi w:val="0"/>
      </w:pPr>
      <w:r>
        <w:t>As part of the Task Force Lightning (TTL) meeting of the WMO in Greenbelt, Maryland in February 2019, one idea that developed was to use the GCOS Reference Upper-Atmospheric Network (GRUAN) to enhance the efforts to establish long term climate measurements of global thunderstorm activity.</w:t>
      </w:r>
    </w:p>
    <w:p w:rsidR="00C40B5D" w:rsidRDefault="00C40B5D" w:rsidP="00C40B5D">
      <w:pPr>
        <w:bidi w:val="0"/>
      </w:pPr>
      <w:r>
        <w:t>The global Earth system between the surface and the ionosphere can be described as a Global Electric Circuit (GEC)</w:t>
      </w:r>
      <w:r w:rsidR="00DE47D5">
        <w:t xml:space="preserve"> </w:t>
      </w:r>
      <w:r w:rsidR="00144232">
        <w:t>(</w:t>
      </w:r>
      <w:proofErr w:type="spellStart"/>
      <w:r w:rsidR="00144232">
        <w:t>Markson</w:t>
      </w:r>
      <w:proofErr w:type="spellEnd"/>
      <w:r w:rsidR="00144232">
        <w:t>, 2007)</w:t>
      </w:r>
      <w:r>
        <w:t xml:space="preserve"> with observable atmospheric currents, electric fields, conductivity, potentials and a capacitance (see figure).</w:t>
      </w:r>
    </w:p>
    <w:p w:rsidR="00C40B5D" w:rsidRDefault="00C40B5D" w:rsidP="00C40B5D">
      <w:pPr>
        <w:bidi w:val="0"/>
      </w:pPr>
      <w:r>
        <w:rPr>
          <w:noProof/>
        </w:rPr>
        <w:drawing>
          <wp:inline distT="0" distB="0" distL="0" distR="0">
            <wp:extent cx="5274310" cy="2628940"/>
            <wp:effectExtent l="0" t="0" r="2540" b="0"/>
            <wp:docPr id="1" name="Picture 1" descr="Image result for global electric circu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result for global electric circuit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62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0B5D" w:rsidRDefault="00C40B5D" w:rsidP="00515500">
      <w:pPr>
        <w:bidi w:val="0"/>
      </w:pPr>
      <w:r>
        <w:t xml:space="preserve">Thunderstorms (~1500 active storms around </w:t>
      </w:r>
      <w:r w:rsidR="00144232">
        <w:t xml:space="preserve">the </w:t>
      </w:r>
      <w:r>
        <w:t xml:space="preserve">planet) drive currents of around 1 Ampere </w:t>
      </w:r>
      <w:r w:rsidR="00144232">
        <w:t>per storm (Mach et al.,</w:t>
      </w:r>
      <w:r w:rsidR="00DE47D5">
        <w:t xml:space="preserve"> 20</w:t>
      </w:r>
      <w:r w:rsidR="00144232">
        <w:t xml:space="preserve">11) </w:t>
      </w:r>
      <w:r>
        <w:t xml:space="preserve">upwards above thunderstorms to the ionosphere, where the currents are spread around the globe, </w:t>
      </w:r>
      <w:proofErr w:type="gramStart"/>
      <w:r>
        <w:t>flowing</w:t>
      </w:r>
      <w:proofErr w:type="gramEnd"/>
      <w:r>
        <w:t xml:space="preserve"> back to the surface in fair-weather regions</w:t>
      </w:r>
      <w:r w:rsidR="00144232">
        <w:t xml:space="preserve">.  In </w:t>
      </w:r>
      <w:r w:rsidR="00DE47D5">
        <w:t xml:space="preserve">these </w:t>
      </w:r>
      <w:r w:rsidR="00144232">
        <w:t xml:space="preserve">fair weather regions we continuously measure the </w:t>
      </w:r>
      <w:r w:rsidR="00DE47D5">
        <w:t xml:space="preserve">conduction </w:t>
      </w:r>
      <w:r w:rsidR="00144232">
        <w:t>currents (~2x10</w:t>
      </w:r>
      <w:r w:rsidR="00144232" w:rsidRPr="00144232">
        <w:rPr>
          <w:vertAlign w:val="superscript"/>
        </w:rPr>
        <w:t>-12</w:t>
      </w:r>
      <w:r w:rsidR="00144232">
        <w:t xml:space="preserve"> Amperes) and vertical electric fields (~130 V/m) produced by global thunderstorms around the globe</w:t>
      </w:r>
      <w:r w:rsidR="00DE47D5">
        <w:t xml:space="preserve"> (Rycroft et al., 2012)</w:t>
      </w:r>
      <w:r w:rsidR="00144232">
        <w:t xml:space="preserve">.  By integrating the E-field with height (using balloons or planes) we get the Ionospheric Potential of ~250kV.  This parameter represents the globally integrated electrical activity in global thunderstorms, and hence supplies a </w:t>
      </w:r>
      <w:r w:rsidR="00DE47D5">
        <w:t xml:space="preserve">global </w:t>
      </w:r>
      <w:r w:rsidR="00144232">
        <w:t>geo-electric index that can be monitored easily over long periods of time.</w:t>
      </w:r>
      <w:r w:rsidR="00CD2A1B">
        <w:t xml:space="preserve">  Unlike the global lightning</w:t>
      </w:r>
      <w:r w:rsidR="00705B9B">
        <w:t xml:space="preserve"> observations that depend on many sensors, satellites, </w:t>
      </w:r>
      <w:r w:rsidR="00515500">
        <w:t xml:space="preserve">and </w:t>
      </w:r>
      <w:r w:rsidR="00705B9B">
        <w:t xml:space="preserve">different detection efficiencies over time, the global electrical activity can </w:t>
      </w:r>
      <w:r w:rsidR="00515500">
        <w:t xml:space="preserve">theoretically </w:t>
      </w:r>
      <w:r w:rsidR="00705B9B">
        <w:t xml:space="preserve">be monitored by </w:t>
      </w:r>
      <w:r w:rsidR="00515500">
        <w:t xml:space="preserve">a single </w:t>
      </w:r>
      <w:r w:rsidR="00705B9B">
        <w:t xml:space="preserve">absolutely-calibrated </w:t>
      </w:r>
      <w:r w:rsidR="00515500">
        <w:t>sensor</w:t>
      </w:r>
      <w:r w:rsidR="00705B9B">
        <w:t xml:space="preserve"> placed at a single location on the Earth.</w:t>
      </w:r>
    </w:p>
    <w:p w:rsidR="00CD2A1B" w:rsidRDefault="00144232" w:rsidP="00705B9B">
      <w:pPr>
        <w:bidi w:val="0"/>
      </w:pPr>
      <w:r>
        <w:t>As part of the WMO task force, we would like to propose using the GRUAN sites for regular ionospheric potential measurements using small E-field sensors that can be attached to regular radiosonde balloons.  Only a few GRUAN sites would be needed to get a good estimate of the global atmospheric electrical activity (on a daily basis) and to monitor these changes over time into the future.</w:t>
      </w:r>
      <w:r w:rsidR="00705B9B">
        <w:t xml:space="preserve"> And as mentioned above, these measurements do not have the problems of global lightning observations.  Furthermore, they represent the activity of ALL electrified clouds, and not only those with lightning.  </w:t>
      </w:r>
      <w:r w:rsidR="00CD2A1B">
        <w:t xml:space="preserve">The reason for focusing on the "ionospheric potential" measurement is mainly to get away from the polluted boundary </w:t>
      </w:r>
      <w:r w:rsidR="00CD2A1B">
        <w:lastRenderedPageBreak/>
        <w:t>layer, where aerosols impact the ground measurements of E-field</w:t>
      </w:r>
      <w:r w:rsidR="00515500">
        <w:t>s</w:t>
      </w:r>
      <w:r w:rsidR="00CD2A1B">
        <w:t xml:space="preserve"> and currents</w:t>
      </w:r>
      <w:r w:rsidR="00515500">
        <w:t xml:space="preserve"> through changes in local atmospheric conductivity</w:t>
      </w:r>
      <w:r w:rsidR="00CD2A1B">
        <w:t xml:space="preserve">.  Having measurements in the free troposphere will provide the best conditions for monitoring the global circuit variability and </w:t>
      </w:r>
      <w:r w:rsidR="00515500">
        <w:t xml:space="preserve">future </w:t>
      </w:r>
      <w:r w:rsidR="00CD2A1B">
        <w:t xml:space="preserve">trends.  </w:t>
      </w:r>
    </w:p>
    <w:p w:rsidR="00705B9B" w:rsidRDefault="00705B9B" w:rsidP="00515500">
      <w:pPr>
        <w:bidi w:val="0"/>
      </w:pPr>
      <w:r>
        <w:t xml:space="preserve">We propose and initial field campaign launching balloons simultaneously from 3-5 GRUAN sites, either a few times a day, or once a day </w:t>
      </w:r>
      <w:r w:rsidR="00515500">
        <w:t>during</w:t>
      </w:r>
      <w:r>
        <w:t xml:space="preserve"> a month</w:t>
      </w:r>
      <w:r w:rsidR="00515500">
        <w:t xml:space="preserve"> or two</w:t>
      </w:r>
      <w:r>
        <w:t xml:space="preserve">.  These balloons would carry E-field sensors that would be identical for each launch, either built by researchers, or purchased commercially.  </w:t>
      </w:r>
      <w:r w:rsidR="000F7F45">
        <w:t>The sensors would be initially financed via research projects, but if extended to regular daily measurements, other s</w:t>
      </w:r>
      <w:r w:rsidR="00515500">
        <w:t xml:space="preserve">ources will need to be found.   </w:t>
      </w:r>
      <w:bookmarkStart w:id="0" w:name="_GoBack"/>
      <w:bookmarkEnd w:id="0"/>
      <w:r>
        <w:t xml:space="preserve">If the campaign is successful, we would propose including regular E-field soundings in future GRUAN launches on a regular basis (once per day, </w:t>
      </w:r>
      <w:r w:rsidR="000F7F45">
        <w:t>once per week).</w:t>
      </w:r>
    </w:p>
    <w:p w:rsidR="00DE47D5" w:rsidRPr="00DE47D5" w:rsidRDefault="00DE47D5" w:rsidP="00DE47D5">
      <w:pPr>
        <w:bidi w:val="0"/>
        <w:rPr>
          <w:b/>
          <w:bCs/>
        </w:rPr>
      </w:pPr>
      <w:r w:rsidRPr="00DE47D5">
        <w:rPr>
          <w:b/>
          <w:bCs/>
        </w:rPr>
        <w:t>Reference:</w:t>
      </w:r>
    </w:p>
    <w:p w:rsidR="00DE47D5" w:rsidRDefault="00DE47D5" w:rsidP="00DE47D5">
      <w:pPr>
        <w:bidi w:val="0"/>
        <w:spacing w:line="240" w:lineRule="auto"/>
      </w:pPr>
      <w:r>
        <w:t>Mach, D.M., et al., 2011, JGR, 166</w:t>
      </w:r>
      <w:proofErr w:type="gramStart"/>
      <w:r>
        <w:t xml:space="preserve">,  </w:t>
      </w:r>
      <w:r w:rsidRPr="00DE47D5">
        <w:t>doi:10.1029</w:t>
      </w:r>
      <w:proofErr w:type="gramEnd"/>
      <w:r w:rsidRPr="00DE47D5">
        <w:t>/2010JD014462</w:t>
      </w:r>
      <w:r>
        <w:t>.</w:t>
      </w:r>
    </w:p>
    <w:p w:rsidR="00DE47D5" w:rsidRDefault="00DE47D5" w:rsidP="00DE47D5">
      <w:pPr>
        <w:bidi w:val="0"/>
        <w:spacing w:line="240" w:lineRule="auto"/>
      </w:pPr>
      <w:proofErr w:type="spellStart"/>
      <w:r>
        <w:t>Markson</w:t>
      </w:r>
      <w:proofErr w:type="spellEnd"/>
      <w:r>
        <w:t xml:space="preserve">, R., 2007, BAMS, </w:t>
      </w:r>
      <w:r w:rsidRPr="00DE47D5">
        <w:t>DOI</w:t>
      </w:r>
      <w:proofErr w:type="gramStart"/>
      <w:r w:rsidRPr="00DE47D5">
        <w:t>:10.1175</w:t>
      </w:r>
      <w:proofErr w:type="gramEnd"/>
      <w:r w:rsidRPr="00DE47D5">
        <w:t>/BAMS-88-2-xxx</w:t>
      </w:r>
      <w:r>
        <w:t>.</w:t>
      </w:r>
    </w:p>
    <w:p w:rsidR="00DE47D5" w:rsidRDefault="00DE47D5" w:rsidP="00DE47D5">
      <w:pPr>
        <w:bidi w:val="0"/>
        <w:spacing w:line="240" w:lineRule="auto"/>
      </w:pPr>
      <w:r>
        <w:t xml:space="preserve">Rycroft, M.J., et al., 2012, JASTP, 90, 198-211, </w:t>
      </w:r>
      <w:hyperlink r:id="rId6" w:history="1">
        <w:r w:rsidRPr="00CD391D">
          <w:rPr>
            <w:rStyle w:val="Hyperlink"/>
          </w:rPr>
          <w:t>http://dx.doi.org/10.1016/j.jastp.2012.03.015</w:t>
        </w:r>
      </w:hyperlink>
      <w:r>
        <w:t>.</w:t>
      </w:r>
    </w:p>
    <w:sectPr w:rsidR="00DE47D5" w:rsidSect="0072571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B5D"/>
    <w:rsid w:val="000F7F45"/>
    <w:rsid w:val="00144232"/>
    <w:rsid w:val="004331EE"/>
    <w:rsid w:val="00515500"/>
    <w:rsid w:val="00705B9B"/>
    <w:rsid w:val="0072571D"/>
    <w:rsid w:val="00C40B5D"/>
    <w:rsid w:val="00CD2A1B"/>
    <w:rsid w:val="00DE4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7D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40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0B5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E47D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dx.doi.org/10.1016/j.jastp.2012.03.015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584</Words>
  <Characters>2920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Colin Price</dc:creator>
  <cp:lastModifiedBy>Colin Price</cp:lastModifiedBy>
  <cp:revision>3</cp:revision>
  <dcterms:created xsi:type="dcterms:W3CDTF">2018-02-26T13:05:00Z</dcterms:created>
  <dcterms:modified xsi:type="dcterms:W3CDTF">2018-02-27T10:06:00Z</dcterms:modified>
</cp:coreProperties>
</file>