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BC" w:rsidRPr="001F00C9" w:rsidRDefault="00EE1BBC" w:rsidP="00EE1BBC">
      <w:pPr>
        <w:widowControl w:val="0"/>
        <w:tabs>
          <w:tab w:val="left" w:pos="851"/>
          <w:tab w:val="left" w:pos="1134"/>
        </w:tabs>
        <w:spacing w:before="240" w:after="120"/>
        <w:jc w:val="both"/>
        <w:outlineLvl w:val="2"/>
        <w:rPr>
          <w:rFonts w:eastAsia="Times New Roman" w:cs="Arial"/>
          <w:b/>
          <w:color w:val="222222"/>
          <w:sz w:val="24"/>
        </w:rPr>
      </w:pPr>
      <w:bookmarkStart w:id="0" w:name="_GoBack"/>
      <w:bookmarkEnd w:id="0"/>
      <w:r w:rsidRPr="001F00C9">
        <w:rPr>
          <w:rFonts w:eastAsia="Times New Roman" w:cs="Arial"/>
          <w:b/>
          <w:color w:val="222222"/>
          <w:sz w:val="24"/>
        </w:rPr>
        <w:t xml:space="preserve">GCOS Network Management </w:t>
      </w:r>
    </w:p>
    <w:p w:rsidR="00EE1BBC" w:rsidRPr="001F00C9" w:rsidRDefault="00EE1BBC" w:rsidP="00EE1BBC">
      <w:pPr>
        <w:jc w:val="both"/>
        <w:rPr>
          <w:rFonts w:cs="Arial"/>
          <w:szCs w:val="22"/>
          <w:lang w:val="en-US"/>
        </w:rPr>
      </w:pPr>
      <w:r w:rsidRPr="001F00C9">
        <w:rPr>
          <w:rFonts w:cs="Arial"/>
          <w:szCs w:val="22"/>
          <w:lang w:val="en-US"/>
        </w:rPr>
        <w:t>The GCOS Secretariat is reporting regularly on the GCOS Surface Network (GSN), the GCOS Upper-Air Network (GUAN) and the GCOS Cooperation Mechanism (GCM), including the station list update, monitoring statistics for past and current years and current and recent observations projects undertaken by the GCOS network management.</w:t>
      </w:r>
    </w:p>
    <w:p w:rsidR="00EE1BBC" w:rsidRPr="001F00C9" w:rsidRDefault="00EE1BBC" w:rsidP="00EE1BBC">
      <w:pPr>
        <w:pStyle w:val="BlockText"/>
        <w:adjustRightInd w:val="0"/>
        <w:snapToGrid w:val="0"/>
        <w:spacing w:before="120"/>
        <w:ind w:left="0" w:right="0"/>
      </w:pPr>
      <w:r w:rsidRPr="001F00C9">
        <w:t xml:space="preserve">A key component to report, update and encourage the work and responsibilities of the Lead Centres is the bi-annual meeting between the Lead Centre Representatives, WMO and GCOS.  The last meeting was held in Cambridge, UK in September 2016 and tentatively the next meeting is to take place in Asheville, USA (September 2018). </w:t>
      </w:r>
    </w:p>
    <w:p w:rsidR="00EE1BBC" w:rsidRDefault="00EE1BBC" w:rsidP="00EE1BBC">
      <w:pPr>
        <w:pStyle w:val="BlockText"/>
        <w:adjustRightInd w:val="0"/>
        <w:snapToGrid w:val="0"/>
        <w:spacing w:before="120"/>
        <w:ind w:left="0" w:right="0"/>
      </w:pPr>
      <w:r w:rsidRPr="001F00C9">
        <w:t>Since January 2016 additional monitoring of the GSN stations has been provided through the EUMETNET Quality Monitoring Portal (</w:t>
      </w:r>
      <w:hyperlink r:id="rId6" w:history="1">
        <w:r w:rsidRPr="001F00C9">
          <w:rPr>
            <w:rStyle w:val="Hyperlink"/>
          </w:rPr>
          <w:t>https://eucos.dwd.de/ravi/</w:t>
        </w:r>
      </w:hyperlink>
      <w:r w:rsidRPr="001F00C9">
        <w:t xml:space="preserve">).  This enhanced QMP not only provides real-time availability and timeliness statistics for surface and upper-air messages received at DWD (Offenbach, Germany) but also measurement quality as compared with NWP background fields (ECMWF).  </w:t>
      </w:r>
    </w:p>
    <w:p w:rsidR="001F00C9" w:rsidRDefault="001F00C9" w:rsidP="00EE1BBC">
      <w:pPr>
        <w:pStyle w:val="BlockText"/>
        <w:adjustRightInd w:val="0"/>
        <w:snapToGrid w:val="0"/>
        <w:spacing w:before="120"/>
        <w:ind w:left="0" w:right="0"/>
      </w:pPr>
    </w:p>
    <w:p w:rsidR="001F00C9" w:rsidRPr="001F00C9" w:rsidRDefault="001F00C9" w:rsidP="00EE1BBC">
      <w:pPr>
        <w:pStyle w:val="BlockText"/>
        <w:adjustRightInd w:val="0"/>
        <w:snapToGrid w:val="0"/>
        <w:spacing w:before="120"/>
        <w:ind w:left="0" w:right="0"/>
      </w:pPr>
    </w:p>
    <w:p w:rsidR="00EE1BBC" w:rsidRPr="001F00C9" w:rsidRDefault="001F00C9" w:rsidP="00EE1BBC">
      <w:pPr>
        <w:rPr>
          <w:rFonts w:cs="Arial"/>
          <w:b/>
          <w:sz w:val="24"/>
        </w:rPr>
      </w:pPr>
      <w:r>
        <w:rPr>
          <w:rFonts w:cs="Arial"/>
          <w:b/>
          <w:sz w:val="24"/>
        </w:rPr>
        <w:t xml:space="preserve">1.1 </w:t>
      </w:r>
      <w:r w:rsidR="00EE1BBC" w:rsidRPr="001F00C9">
        <w:rPr>
          <w:rFonts w:cs="Arial"/>
          <w:b/>
          <w:sz w:val="24"/>
        </w:rPr>
        <w:t>Network Station List (2018 update, yet to be approved by AOPC)</w:t>
      </w:r>
    </w:p>
    <w:p w:rsidR="00EE1BBC" w:rsidRPr="001F00C9" w:rsidRDefault="00EE1BBC" w:rsidP="00EE1BBC">
      <w:pPr>
        <w:rPr>
          <w:rFonts w:cs="Arial"/>
          <w:b/>
          <w:sz w:val="24"/>
        </w:rPr>
      </w:pPr>
    </w:p>
    <w:p w:rsidR="00EE1BBC" w:rsidRPr="001F00C9" w:rsidRDefault="00EE1BBC" w:rsidP="00EE1BBC">
      <w:pPr>
        <w:rPr>
          <w:rFonts w:cs="Arial"/>
          <w:u w:val="single"/>
        </w:rPr>
      </w:pPr>
      <w:r w:rsidRPr="001F00C9">
        <w:rPr>
          <w:rFonts w:cs="Arial"/>
          <w:u w:val="single"/>
        </w:rPr>
        <w:t>GCOS Surface Network (GSN)</w:t>
      </w:r>
    </w:p>
    <w:p w:rsidR="00EE1BBC" w:rsidRPr="001F00C9" w:rsidRDefault="00EE1BBC" w:rsidP="00EE1BBC">
      <w:pPr>
        <w:rPr>
          <w:rFonts w:cs="Arial"/>
          <w:u w:val="single"/>
        </w:rPr>
      </w:pPr>
    </w:p>
    <w:tbl>
      <w:tblPr>
        <w:tblStyle w:val="TableGrid"/>
        <w:tblW w:w="0" w:type="auto"/>
        <w:tblInd w:w="607" w:type="dxa"/>
        <w:tblLook w:val="04A0" w:firstRow="1" w:lastRow="0" w:firstColumn="1" w:lastColumn="0" w:noHBand="0" w:noVBand="1"/>
      </w:tblPr>
      <w:tblGrid>
        <w:gridCol w:w="1555"/>
        <w:gridCol w:w="2693"/>
        <w:gridCol w:w="3969"/>
      </w:tblGrid>
      <w:tr w:rsidR="00EE1BBC" w:rsidRPr="001F00C9" w:rsidTr="00B108C1">
        <w:tc>
          <w:tcPr>
            <w:tcW w:w="1555" w:type="dxa"/>
          </w:tcPr>
          <w:p w:rsidR="00EE1BBC" w:rsidRPr="001F00C9" w:rsidRDefault="00EE1BBC" w:rsidP="00B108C1">
            <w:pPr>
              <w:rPr>
                <w:rFonts w:cs="Arial"/>
              </w:rPr>
            </w:pPr>
            <w:r w:rsidRPr="001F00C9">
              <w:rPr>
                <w:rFonts w:cs="Arial"/>
              </w:rPr>
              <w:t>RA-I</w:t>
            </w:r>
          </w:p>
        </w:tc>
        <w:tc>
          <w:tcPr>
            <w:tcW w:w="2693" w:type="dxa"/>
          </w:tcPr>
          <w:p w:rsidR="00EE1BBC" w:rsidRPr="001F00C9" w:rsidRDefault="00EE1BBC" w:rsidP="00B108C1">
            <w:pPr>
              <w:rPr>
                <w:rFonts w:cs="Arial"/>
              </w:rPr>
            </w:pPr>
            <w:r w:rsidRPr="001F00C9">
              <w:rPr>
                <w:rFonts w:cs="Arial"/>
              </w:rPr>
              <w:t>155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RA-II</w:t>
            </w:r>
          </w:p>
        </w:tc>
        <w:tc>
          <w:tcPr>
            <w:tcW w:w="2693" w:type="dxa"/>
          </w:tcPr>
          <w:p w:rsidR="00EE1BBC" w:rsidRPr="001F00C9" w:rsidRDefault="00EE1BBC" w:rsidP="00B108C1">
            <w:pPr>
              <w:rPr>
                <w:rFonts w:cs="Arial"/>
              </w:rPr>
            </w:pPr>
            <w:r w:rsidRPr="001F00C9">
              <w:rPr>
                <w:rFonts w:cs="Arial"/>
              </w:rPr>
              <w:t>258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RA-III</w:t>
            </w:r>
          </w:p>
        </w:tc>
        <w:tc>
          <w:tcPr>
            <w:tcW w:w="2693" w:type="dxa"/>
          </w:tcPr>
          <w:p w:rsidR="00EE1BBC" w:rsidRPr="001F00C9" w:rsidRDefault="00EE1BBC" w:rsidP="00B108C1">
            <w:pPr>
              <w:rPr>
                <w:rFonts w:cs="Arial"/>
              </w:rPr>
            </w:pPr>
            <w:r w:rsidRPr="001F00C9">
              <w:rPr>
                <w:rFonts w:cs="Arial"/>
              </w:rPr>
              <w:t>101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RA-IV</w:t>
            </w:r>
          </w:p>
        </w:tc>
        <w:tc>
          <w:tcPr>
            <w:tcW w:w="2693" w:type="dxa"/>
          </w:tcPr>
          <w:p w:rsidR="00EE1BBC" w:rsidRPr="001F00C9" w:rsidRDefault="00EE1BBC" w:rsidP="00B108C1">
            <w:pPr>
              <w:rPr>
                <w:rFonts w:cs="Arial"/>
              </w:rPr>
            </w:pPr>
            <w:r w:rsidRPr="001F00C9">
              <w:rPr>
                <w:rFonts w:cs="Arial"/>
              </w:rPr>
              <w:t>178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RA-V</w:t>
            </w:r>
          </w:p>
        </w:tc>
        <w:tc>
          <w:tcPr>
            <w:tcW w:w="2693" w:type="dxa"/>
          </w:tcPr>
          <w:p w:rsidR="00EE1BBC" w:rsidRPr="001F00C9" w:rsidRDefault="00EE1BBC" w:rsidP="00B108C1">
            <w:pPr>
              <w:rPr>
                <w:rFonts w:cs="Arial"/>
              </w:rPr>
            </w:pPr>
            <w:r w:rsidRPr="001F00C9">
              <w:rPr>
                <w:rFonts w:cs="Arial"/>
              </w:rPr>
              <w:t>151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RA-VI</w:t>
            </w:r>
          </w:p>
        </w:tc>
        <w:tc>
          <w:tcPr>
            <w:tcW w:w="2693" w:type="dxa"/>
          </w:tcPr>
          <w:p w:rsidR="00EE1BBC" w:rsidRPr="001F00C9" w:rsidRDefault="00EE1BBC" w:rsidP="00B108C1">
            <w:pPr>
              <w:rPr>
                <w:rFonts w:cs="Arial"/>
              </w:rPr>
            </w:pPr>
            <w:r w:rsidRPr="001F00C9">
              <w:rPr>
                <w:rFonts w:cs="Arial"/>
              </w:rPr>
              <w:t>138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ANTON</w:t>
            </w:r>
          </w:p>
        </w:tc>
        <w:tc>
          <w:tcPr>
            <w:tcW w:w="2693" w:type="dxa"/>
          </w:tcPr>
          <w:p w:rsidR="00EE1BBC" w:rsidRPr="001F00C9" w:rsidRDefault="00EE1BBC" w:rsidP="00B108C1">
            <w:pPr>
              <w:rPr>
                <w:rFonts w:cs="Arial"/>
              </w:rPr>
            </w:pPr>
            <w:r w:rsidRPr="001F00C9">
              <w:rPr>
                <w:rFonts w:cs="Arial"/>
              </w:rPr>
              <w:t>42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shd w:val="clear" w:color="auto" w:fill="EEECE1" w:themeFill="background2"/>
          </w:tcPr>
          <w:p w:rsidR="00EE1BBC" w:rsidRPr="001F00C9" w:rsidRDefault="00EE1BBC" w:rsidP="00B108C1">
            <w:pPr>
              <w:rPr>
                <w:rFonts w:cs="Arial"/>
                <w:b/>
                <w:bCs/>
              </w:rPr>
            </w:pPr>
            <w:r w:rsidRPr="001F00C9">
              <w:rPr>
                <w:rFonts w:cs="Arial"/>
                <w:b/>
                <w:bCs/>
              </w:rPr>
              <w:t>TOTAL</w:t>
            </w:r>
          </w:p>
        </w:tc>
        <w:tc>
          <w:tcPr>
            <w:tcW w:w="2693" w:type="dxa"/>
            <w:shd w:val="clear" w:color="auto" w:fill="EEECE1" w:themeFill="background2"/>
          </w:tcPr>
          <w:p w:rsidR="00EE1BBC" w:rsidRPr="001F00C9" w:rsidRDefault="00EE1BBC" w:rsidP="00B108C1">
            <w:pPr>
              <w:rPr>
                <w:rFonts w:cs="Arial"/>
                <w:b/>
                <w:bCs/>
              </w:rPr>
            </w:pPr>
            <w:r w:rsidRPr="001F00C9">
              <w:rPr>
                <w:rFonts w:cs="Arial"/>
                <w:b/>
                <w:bCs/>
              </w:rPr>
              <w:t>1023 Stations</w:t>
            </w:r>
          </w:p>
        </w:tc>
        <w:tc>
          <w:tcPr>
            <w:tcW w:w="3969" w:type="dxa"/>
            <w:shd w:val="clear" w:color="auto" w:fill="EEECE1" w:themeFill="background2"/>
          </w:tcPr>
          <w:p w:rsidR="00EE1BBC" w:rsidRPr="001F00C9" w:rsidRDefault="00EE1BBC" w:rsidP="00B108C1">
            <w:pPr>
              <w:rPr>
                <w:rFonts w:cs="Arial"/>
              </w:rPr>
            </w:pPr>
          </w:p>
        </w:tc>
      </w:tr>
    </w:tbl>
    <w:p w:rsidR="00EE1BBC" w:rsidRPr="001F00C9" w:rsidRDefault="00EE1BBC" w:rsidP="00EE1BBC">
      <w:pPr>
        <w:rPr>
          <w:rFonts w:cs="Arial"/>
          <w:u w:val="single"/>
        </w:rPr>
      </w:pPr>
    </w:p>
    <w:p w:rsidR="00EE1BBC" w:rsidRPr="001F00C9" w:rsidRDefault="00EE1BBC" w:rsidP="00EE1BBC">
      <w:pPr>
        <w:rPr>
          <w:rFonts w:cs="Arial"/>
          <w:u w:val="single"/>
        </w:rPr>
      </w:pPr>
    </w:p>
    <w:p w:rsidR="00EE1BBC" w:rsidRPr="001F00C9" w:rsidRDefault="00EE1BBC" w:rsidP="00EE1BBC">
      <w:pPr>
        <w:rPr>
          <w:rFonts w:cs="Arial"/>
          <w:u w:val="single"/>
        </w:rPr>
      </w:pPr>
      <w:r w:rsidRPr="001F00C9">
        <w:rPr>
          <w:rFonts w:cs="Arial"/>
          <w:u w:val="single"/>
        </w:rPr>
        <w:t>GCOS Upper Air Network (GUAN)</w:t>
      </w:r>
    </w:p>
    <w:p w:rsidR="00EE1BBC" w:rsidRPr="001F00C9" w:rsidRDefault="00EE1BBC" w:rsidP="00EE1BBC">
      <w:pPr>
        <w:rPr>
          <w:rFonts w:cs="Arial"/>
          <w:sz w:val="10"/>
          <w:szCs w:val="10"/>
        </w:rPr>
      </w:pPr>
    </w:p>
    <w:p w:rsidR="00EE1BBC" w:rsidRPr="001F00C9" w:rsidRDefault="00EE1BBC" w:rsidP="00EE1BBC">
      <w:pPr>
        <w:rPr>
          <w:rFonts w:cs="Arial"/>
          <w:color w:val="FF0000"/>
        </w:rPr>
      </w:pPr>
    </w:p>
    <w:tbl>
      <w:tblPr>
        <w:tblStyle w:val="TableGrid"/>
        <w:tblW w:w="0" w:type="auto"/>
        <w:tblInd w:w="607" w:type="dxa"/>
        <w:tblLook w:val="04A0" w:firstRow="1" w:lastRow="0" w:firstColumn="1" w:lastColumn="0" w:noHBand="0" w:noVBand="1"/>
      </w:tblPr>
      <w:tblGrid>
        <w:gridCol w:w="1555"/>
        <w:gridCol w:w="2693"/>
        <w:gridCol w:w="3969"/>
      </w:tblGrid>
      <w:tr w:rsidR="00EE1BBC" w:rsidRPr="001F00C9" w:rsidTr="00B108C1">
        <w:tc>
          <w:tcPr>
            <w:tcW w:w="1555" w:type="dxa"/>
          </w:tcPr>
          <w:p w:rsidR="00EE1BBC" w:rsidRPr="001F00C9" w:rsidRDefault="00EE1BBC" w:rsidP="00B108C1">
            <w:pPr>
              <w:rPr>
                <w:rFonts w:cs="Arial"/>
              </w:rPr>
            </w:pPr>
            <w:r w:rsidRPr="001F00C9">
              <w:rPr>
                <w:rFonts w:cs="Arial"/>
              </w:rPr>
              <w:t>RA-I</w:t>
            </w:r>
          </w:p>
        </w:tc>
        <w:tc>
          <w:tcPr>
            <w:tcW w:w="2693" w:type="dxa"/>
          </w:tcPr>
          <w:p w:rsidR="00EE1BBC" w:rsidRPr="001F00C9" w:rsidRDefault="00EE1BBC" w:rsidP="00B108C1">
            <w:pPr>
              <w:rPr>
                <w:rFonts w:cs="Arial"/>
              </w:rPr>
            </w:pPr>
            <w:r w:rsidRPr="001F00C9">
              <w:rPr>
                <w:rFonts w:cs="Arial"/>
              </w:rPr>
              <w:t>23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RA-II</w:t>
            </w:r>
          </w:p>
        </w:tc>
        <w:tc>
          <w:tcPr>
            <w:tcW w:w="2693" w:type="dxa"/>
          </w:tcPr>
          <w:p w:rsidR="00EE1BBC" w:rsidRPr="001F00C9" w:rsidRDefault="00EE1BBC" w:rsidP="00B108C1">
            <w:pPr>
              <w:rPr>
                <w:rFonts w:cs="Arial"/>
              </w:rPr>
            </w:pPr>
            <w:r w:rsidRPr="001F00C9">
              <w:rPr>
                <w:rFonts w:cs="Arial"/>
              </w:rPr>
              <w:t>38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RA-III</w:t>
            </w:r>
          </w:p>
        </w:tc>
        <w:tc>
          <w:tcPr>
            <w:tcW w:w="2693" w:type="dxa"/>
          </w:tcPr>
          <w:p w:rsidR="00EE1BBC" w:rsidRPr="001F00C9" w:rsidRDefault="00EE1BBC" w:rsidP="00B108C1">
            <w:pPr>
              <w:rPr>
                <w:rFonts w:cs="Arial"/>
              </w:rPr>
            </w:pPr>
            <w:r w:rsidRPr="001F00C9">
              <w:rPr>
                <w:rFonts w:cs="Arial"/>
              </w:rPr>
              <w:t>18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RA-IV</w:t>
            </w:r>
          </w:p>
        </w:tc>
        <w:tc>
          <w:tcPr>
            <w:tcW w:w="2693" w:type="dxa"/>
          </w:tcPr>
          <w:p w:rsidR="00EE1BBC" w:rsidRPr="001F00C9" w:rsidRDefault="00EE1BBC" w:rsidP="00B108C1">
            <w:pPr>
              <w:rPr>
                <w:rFonts w:cs="Arial"/>
              </w:rPr>
            </w:pPr>
            <w:r w:rsidRPr="001F00C9">
              <w:rPr>
                <w:rFonts w:cs="Arial"/>
              </w:rPr>
              <w:t>24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RA-V</w:t>
            </w:r>
          </w:p>
        </w:tc>
        <w:tc>
          <w:tcPr>
            <w:tcW w:w="2693" w:type="dxa"/>
          </w:tcPr>
          <w:p w:rsidR="00EE1BBC" w:rsidRPr="001F00C9" w:rsidRDefault="00EE1BBC" w:rsidP="00B108C1">
            <w:pPr>
              <w:rPr>
                <w:rFonts w:cs="Arial"/>
              </w:rPr>
            </w:pPr>
            <w:r w:rsidRPr="001F00C9">
              <w:rPr>
                <w:rFonts w:cs="Arial"/>
              </w:rPr>
              <w:t>38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RA-VI</w:t>
            </w:r>
          </w:p>
        </w:tc>
        <w:tc>
          <w:tcPr>
            <w:tcW w:w="2693" w:type="dxa"/>
          </w:tcPr>
          <w:p w:rsidR="00EE1BBC" w:rsidRPr="001F00C9" w:rsidRDefault="00EE1BBC" w:rsidP="00B108C1">
            <w:pPr>
              <w:rPr>
                <w:rFonts w:cs="Arial"/>
              </w:rPr>
            </w:pPr>
            <w:r w:rsidRPr="001F00C9">
              <w:rPr>
                <w:rFonts w:cs="Arial"/>
              </w:rPr>
              <w:t>24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tcPr>
          <w:p w:rsidR="00EE1BBC" w:rsidRPr="001F00C9" w:rsidRDefault="00EE1BBC" w:rsidP="00B108C1">
            <w:pPr>
              <w:rPr>
                <w:rFonts w:cs="Arial"/>
              </w:rPr>
            </w:pPr>
            <w:r w:rsidRPr="001F00C9">
              <w:rPr>
                <w:rFonts w:cs="Arial"/>
              </w:rPr>
              <w:t>ANTON</w:t>
            </w:r>
          </w:p>
        </w:tc>
        <w:tc>
          <w:tcPr>
            <w:tcW w:w="2693" w:type="dxa"/>
          </w:tcPr>
          <w:p w:rsidR="00EE1BBC" w:rsidRPr="001F00C9" w:rsidRDefault="00EE1BBC" w:rsidP="00B108C1">
            <w:pPr>
              <w:rPr>
                <w:rFonts w:cs="Arial"/>
              </w:rPr>
            </w:pPr>
            <w:r w:rsidRPr="001F00C9">
              <w:rPr>
                <w:rFonts w:cs="Arial"/>
              </w:rPr>
              <w:t>12 Stations (0)</w:t>
            </w:r>
          </w:p>
        </w:tc>
        <w:tc>
          <w:tcPr>
            <w:tcW w:w="3969" w:type="dxa"/>
          </w:tcPr>
          <w:p w:rsidR="00EE1BBC" w:rsidRPr="001F00C9" w:rsidRDefault="00EE1BBC" w:rsidP="00B108C1">
            <w:pPr>
              <w:rPr>
                <w:rFonts w:cs="Arial"/>
              </w:rPr>
            </w:pPr>
            <w:r w:rsidRPr="001F00C9">
              <w:rPr>
                <w:rFonts w:cs="Arial"/>
              </w:rPr>
              <w:t>No Changes</w:t>
            </w:r>
          </w:p>
        </w:tc>
      </w:tr>
      <w:tr w:rsidR="00EE1BBC" w:rsidRPr="001F00C9" w:rsidTr="00B108C1">
        <w:tc>
          <w:tcPr>
            <w:tcW w:w="1555" w:type="dxa"/>
            <w:shd w:val="clear" w:color="auto" w:fill="EEECE1" w:themeFill="background2"/>
          </w:tcPr>
          <w:p w:rsidR="00EE1BBC" w:rsidRPr="001F00C9" w:rsidRDefault="00EE1BBC" w:rsidP="00B108C1">
            <w:pPr>
              <w:rPr>
                <w:rFonts w:cs="Arial"/>
                <w:b/>
                <w:bCs/>
              </w:rPr>
            </w:pPr>
            <w:r w:rsidRPr="001F00C9">
              <w:rPr>
                <w:rFonts w:cs="Arial"/>
                <w:b/>
                <w:bCs/>
              </w:rPr>
              <w:t>TOTAL</w:t>
            </w:r>
          </w:p>
        </w:tc>
        <w:tc>
          <w:tcPr>
            <w:tcW w:w="2693" w:type="dxa"/>
            <w:shd w:val="clear" w:color="auto" w:fill="EEECE1" w:themeFill="background2"/>
          </w:tcPr>
          <w:p w:rsidR="00EE1BBC" w:rsidRPr="001F00C9" w:rsidRDefault="00EE1BBC" w:rsidP="00B108C1">
            <w:pPr>
              <w:rPr>
                <w:rFonts w:cs="Arial"/>
                <w:b/>
                <w:bCs/>
              </w:rPr>
            </w:pPr>
            <w:r w:rsidRPr="001F00C9">
              <w:rPr>
                <w:rFonts w:cs="Arial"/>
                <w:b/>
                <w:bCs/>
              </w:rPr>
              <w:t>177 Stations (0)</w:t>
            </w:r>
          </w:p>
        </w:tc>
        <w:tc>
          <w:tcPr>
            <w:tcW w:w="3969" w:type="dxa"/>
            <w:shd w:val="clear" w:color="auto" w:fill="EEECE1" w:themeFill="background2"/>
          </w:tcPr>
          <w:p w:rsidR="00EE1BBC" w:rsidRPr="001F00C9" w:rsidRDefault="00EE1BBC" w:rsidP="00B108C1">
            <w:pPr>
              <w:rPr>
                <w:rFonts w:cs="Arial"/>
              </w:rPr>
            </w:pPr>
          </w:p>
        </w:tc>
      </w:tr>
    </w:tbl>
    <w:p w:rsidR="00EE1BBC" w:rsidRPr="001F00C9" w:rsidRDefault="00EE1BBC" w:rsidP="00EE1BBC">
      <w:pPr>
        <w:rPr>
          <w:rFonts w:cs="Arial"/>
          <w:color w:val="FF0000"/>
        </w:rPr>
      </w:pPr>
    </w:p>
    <w:p w:rsidR="00EE1BBC" w:rsidRDefault="00EE1BBC" w:rsidP="00EE1BBC">
      <w:pPr>
        <w:pStyle w:val="BlockText"/>
        <w:adjustRightInd w:val="0"/>
        <w:snapToGrid w:val="0"/>
        <w:spacing w:before="120"/>
        <w:ind w:left="0" w:right="0"/>
        <w:rPr>
          <w:sz w:val="20"/>
          <w:szCs w:val="20"/>
        </w:rPr>
      </w:pPr>
    </w:p>
    <w:p w:rsidR="001F00C9" w:rsidRDefault="001F00C9" w:rsidP="00EE1BBC">
      <w:pPr>
        <w:pStyle w:val="BlockText"/>
        <w:adjustRightInd w:val="0"/>
        <w:snapToGrid w:val="0"/>
        <w:spacing w:before="120"/>
        <w:ind w:left="0" w:right="0"/>
        <w:rPr>
          <w:sz w:val="20"/>
          <w:szCs w:val="20"/>
        </w:rPr>
      </w:pPr>
    </w:p>
    <w:p w:rsidR="001F00C9" w:rsidRDefault="001F00C9" w:rsidP="00EE1BBC">
      <w:pPr>
        <w:pStyle w:val="BlockText"/>
        <w:adjustRightInd w:val="0"/>
        <w:snapToGrid w:val="0"/>
        <w:spacing w:before="120"/>
        <w:ind w:left="0" w:right="0"/>
        <w:rPr>
          <w:sz w:val="20"/>
          <w:szCs w:val="20"/>
        </w:rPr>
      </w:pPr>
    </w:p>
    <w:p w:rsidR="001F00C9" w:rsidRDefault="001F00C9" w:rsidP="00EE1BBC">
      <w:pPr>
        <w:pStyle w:val="BlockText"/>
        <w:adjustRightInd w:val="0"/>
        <w:snapToGrid w:val="0"/>
        <w:spacing w:before="120"/>
        <w:ind w:left="0" w:right="0"/>
        <w:rPr>
          <w:sz w:val="20"/>
          <w:szCs w:val="20"/>
        </w:rPr>
      </w:pPr>
    </w:p>
    <w:p w:rsidR="001F00C9" w:rsidRPr="001F00C9" w:rsidRDefault="001F00C9" w:rsidP="00EE1BBC">
      <w:pPr>
        <w:pStyle w:val="BlockText"/>
        <w:adjustRightInd w:val="0"/>
        <w:snapToGrid w:val="0"/>
        <w:spacing w:before="120"/>
        <w:ind w:left="0" w:right="0"/>
        <w:rPr>
          <w:sz w:val="20"/>
          <w:szCs w:val="20"/>
        </w:rPr>
      </w:pPr>
    </w:p>
    <w:p w:rsidR="00EE1BBC" w:rsidRPr="001F00C9" w:rsidRDefault="001F00C9" w:rsidP="00EE1BBC">
      <w:pPr>
        <w:pStyle w:val="WMOSubTitle1"/>
        <w:rPr>
          <w:rFonts w:ascii="Arial" w:hAnsi="Arial" w:cs="Arial"/>
          <w:i w:val="0"/>
          <w:sz w:val="24"/>
          <w:szCs w:val="24"/>
        </w:rPr>
      </w:pPr>
      <w:r>
        <w:rPr>
          <w:rFonts w:ascii="Arial" w:hAnsi="Arial" w:cs="Arial"/>
          <w:i w:val="0"/>
          <w:sz w:val="24"/>
          <w:szCs w:val="24"/>
        </w:rPr>
        <w:lastRenderedPageBreak/>
        <w:t xml:space="preserve">1.2 </w:t>
      </w:r>
      <w:r w:rsidR="00EE1BBC" w:rsidRPr="001F00C9">
        <w:rPr>
          <w:rFonts w:ascii="Arial" w:hAnsi="Arial" w:cs="Arial"/>
          <w:i w:val="0"/>
          <w:sz w:val="24"/>
          <w:szCs w:val="24"/>
        </w:rPr>
        <w:t xml:space="preserve">Performance Report of the GSN </w:t>
      </w:r>
    </w:p>
    <w:p w:rsidR="00EE1BBC" w:rsidRPr="001F00C9" w:rsidRDefault="00EE1BBC" w:rsidP="00EE1BBC">
      <w:pPr>
        <w:pStyle w:val="ListParagraph"/>
        <w:spacing w:before="240" w:after="0" w:line="240" w:lineRule="auto"/>
        <w:ind w:left="0"/>
        <w:jc w:val="both"/>
        <w:rPr>
          <w:rFonts w:eastAsia="Arial"/>
        </w:rPr>
      </w:pPr>
      <w:r w:rsidRPr="001F00C9">
        <w:rPr>
          <w:rFonts w:eastAsia="Arial"/>
        </w:rPr>
        <w:t>The following statistics are an annual summary of the monthly CLIMAT messages in the GCOS Climate Archive (National Climate Environmental Information, NCEI, US). According to the GCOS requirements a fully compliant GSN/RBCN shall have 12 CLIMAT reports. The values represents the 2017 percentage (Oct 2016 to Sept 2017) of stations that are compliant and those that are partially or non-compliant. In brackets are the statistics for 2016, 2015, 2014, 2013, 2012 and 2011 respectively.</w:t>
      </w:r>
    </w:p>
    <w:p w:rsidR="00EE1BBC" w:rsidRPr="001F00C9" w:rsidRDefault="00EE1BBC" w:rsidP="00EE1BBC">
      <w:pPr>
        <w:pStyle w:val="ListParagraph"/>
        <w:spacing w:before="240" w:after="0" w:line="240" w:lineRule="auto"/>
        <w:ind w:left="0"/>
        <w:rPr>
          <w:rFonts w:eastAsia="Arial"/>
          <w:sz w:val="10"/>
          <w:szCs w:val="10"/>
        </w:rPr>
      </w:pPr>
    </w:p>
    <w:p w:rsidR="00EE1BBC" w:rsidRPr="001F00C9" w:rsidRDefault="00EE1BBC" w:rsidP="00EE1BBC">
      <w:pPr>
        <w:contextualSpacing/>
        <w:jc w:val="center"/>
        <w:rPr>
          <w:rFonts w:eastAsia="Times New Roman" w:cs="Arial"/>
          <w:b/>
        </w:rPr>
      </w:pPr>
      <w:r w:rsidRPr="001F00C9">
        <w:rPr>
          <w:rFonts w:eastAsia="Times New Roman" w:cs="Arial"/>
          <w:b/>
        </w:rPr>
        <w:t>GCOS Surface Network (GSN)</w:t>
      </w:r>
    </w:p>
    <w:p w:rsidR="00EE1BBC" w:rsidRPr="001F00C9" w:rsidRDefault="00EE1BBC" w:rsidP="00EE1BBC">
      <w:pPr>
        <w:ind w:left="1134"/>
        <w:contextualSpacing/>
        <w:jc w:val="center"/>
        <w:rPr>
          <w:rFonts w:eastAsia="Times New Roman" w:cs="Arial"/>
          <w:b/>
          <w:sz w:val="10"/>
          <w:szCs w:val="10"/>
        </w:rPr>
      </w:pPr>
    </w:p>
    <w:tbl>
      <w:tblPr>
        <w:tblStyle w:val="TableGrid"/>
        <w:tblW w:w="10232" w:type="dxa"/>
        <w:tblLook w:val="04A0" w:firstRow="1" w:lastRow="0" w:firstColumn="1" w:lastColumn="0" w:noHBand="0" w:noVBand="1"/>
      </w:tblPr>
      <w:tblGrid>
        <w:gridCol w:w="847"/>
        <w:gridCol w:w="541"/>
        <w:gridCol w:w="2246"/>
        <w:gridCol w:w="2246"/>
        <w:gridCol w:w="2106"/>
        <w:gridCol w:w="2246"/>
      </w:tblGrid>
      <w:tr w:rsidR="00EE1BBC" w:rsidRPr="001F00C9" w:rsidTr="00B108C1">
        <w:tc>
          <w:tcPr>
            <w:tcW w:w="760" w:type="dxa"/>
          </w:tcPr>
          <w:p w:rsidR="00EE1BBC" w:rsidRPr="001F00C9" w:rsidRDefault="00EE1BBC" w:rsidP="00B108C1">
            <w:pPr>
              <w:jc w:val="center"/>
              <w:rPr>
                <w:rFonts w:cs="Arial"/>
                <w:b/>
                <w:sz w:val="16"/>
                <w:szCs w:val="16"/>
              </w:rPr>
            </w:pPr>
            <w:r w:rsidRPr="001F00C9">
              <w:rPr>
                <w:rFonts w:cs="Arial"/>
                <w:b/>
                <w:sz w:val="16"/>
                <w:szCs w:val="16"/>
              </w:rPr>
              <w:t>Region</w:t>
            </w:r>
          </w:p>
        </w:tc>
        <w:tc>
          <w:tcPr>
            <w:tcW w:w="542" w:type="dxa"/>
          </w:tcPr>
          <w:p w:rsidR="00EE1BBC" w:rsidRPr="001F00C9" w:rsidRDefault="00EE1BBC" w:rsidP="00B108C1">
            <w:pPr>
              <w:jc w:val="center"/>
              <w:rPr>
                <w:rFonts w:cs="Arial"/>
                <w:b/>
                <w:sz w:val="16"/>
                <w:szCs w:val="16"/>
              </w:rPr>
            </w:pPr>
            <w:r w:rsidRPr="001F00C9">
              <w:rPr>
                <w:rFonts w:cs="Arial"/>
                <w:b/>
                <w:sz w:val="16"/>
                <w:szCs w:val="16"/>
              </w:rPr>
              <w:t>No.</w:t>
            </w:r>
          </w:p>
        </w:tc>
        <w:tc>
          <w:tcPr>
            <w:tcW w:w="2268" w:type="dxa"/>
            <w:tcBorders>
              <w:right w:val="single" w:sz="12" w:space="0" w:color="auto"/>
            </w:tcBorders>
          </w:tcPr>
          <w:p w:rsidR="00EE1BBC" w:rsidRPr="001F00C9" w:rsidRDefault="00EE1BBC" w:rsidP="00B108C1">
            <w:pPr>
              <w:jc w:val="center"/>
              <w:rPr>
                <w:rFonts w:cs="Arial"/>
                <w:b/>
                <w:sz w:val="18"/>
                <w:szCs w:val="18"/>
              </w:rPr>
            </w:pPr>
            <w:r w:rsidRPr="001F00C9">
              <w:rPr>
                <w:rFonts w:cs="Arial"/>
                <w:b/>
                <w:sz w:val="18"/>
                <w:szCs w:val="18"/>
              </w:rPr>
              <w:t>12</w:t>
            </w:r>
          </w:p>
          <w:p w:rsidR="00EE1BBC" w:rsidRPr="001F00C9" w:rsidRDefault="00EE1BBC" w:rsidP="00B108C1">
            <w:pPr>
              <w:jc w:val="center"/>
              <w:rPr>
                <w:rFonts w:cs="Arial"/>
                <w:b/>
                <w:sz w:val="16"/>
                <w:szCs w:val="16"/>
              </w:rPr>
            </w:pPr>
            <w:r w:rsidRPr="001F00C9">
              <w:rPr>
                <w:rFonts w:cs="Arial"/>
                <w:b/>
                <w:sz w:val="16"/>
                <w:szCs w:val="16"/>
              </w:rPr>
              <w:t>Monthly CLIMAT</w:t>
            </w:r>
          </w:p>
        </w:tc>
        <w:tc>
          <w:tcPr>
            <w:tcW w:w="2268" w:type="dxa"/>
            <w:tcBorders>
              <w:left w:val="single" w:sz="12" w:space="0" w:color="auto"/>
            </w:tcBorders>
          </w:tcPr>
          <w:p w:rsidR="00EE1BBC" w:rsidRPr="001F00C9" w:rsidRDefault="00EE1BBC" w:rsidP="00B108C1">
            <w:pPr>
              <w:jc w:val="center"/>
              <w:rPr>
                <w:rFonts w:cs="Arial"/>
                <w:b/>
                <w:sz w:val="18"/>
                <w:szCs w:val="18"/>
              </w:rPr>
            </w:pPr>
            <w:r w:rsidRPr="001F00C9">
              <w:rPr>
                <w:rFonts w:cs="Arial"/>
                <w:b/>
                <w:sz w:val="18"/>
                <w:szCs w:val="18"/>
              </w:rPr>
              <w:t>6 - 11</w:t>
            </w:r>
          </w:p>
          <w:p w:rsidR="00EE1BBC" w:rsidRPr="001F00C9" w:rsidRDefault="00EE1BBC" w:rsidP="00B108C1">
            <w:pPr>
              <w:jc w:val="center"/>
              <w:rPr>
                <w:rFonts w:cs="Arial"/>
                <w:b/>
                <w:sz w:val="16"/>
                <w:szCs w:val="16"/>
              </w:rPr>
            </w:pPr>
            <w:r w:rsidRPr="001F00C9">
              <w:rPr>
                <w:rFonts w:cs="Arial"/>
                <w:b/>
                <w:sz w:val="16"/>
                <w:szCs w:val="16"/>
              </w:rPr>
              <w:t>Monthly CLIMAT</w:t>
            </w:r>
          </w:p>
        </w:tc>
        <w:tc>
          <w:tcPr>
            <w:tcW w:w="2126" w:type="dxa"/>
          </w:tcPr>
          <w:p w:rsidR="00EE1BBC" w:rsidRPr="001F00C9" w:rsidRDefault="00EE1BBC" w:rsidP="00B108C1">
            <w:pPr>
              <w:jc w:val="center"/>
              <w:rPr>
                <w:rFonts w:cs="Arial"/>
                <w:b/>
                <w:sz w:val="18"/>
                <w:szCs w:val="18"/>
              </w:rPr>
            </w:pPr>
            <w:r w:rsidRPr="001F00C9">
              <w:rPr>
                <w:rFonts w:cs="Arial"/>
                <w:b/>
                <w:sz w:val="18"/>
                <w:szCs w:val="18"/>
              </w:rPr>
              <w:t>1 - 5</w:t>
            </w:r>
          </w:p>
          <w:p w:rsidR="00EE1BBC" w:rsidRPr="001F00C9" w:rsidRDefault="00EE1BBC" w:rsidP="00B108C1">
            <w:pPr>
              <w:jc w:val="center"/>
              <w:rPr>
                <w:rFonts w:cs="Arial"/>
                <w:b/>
                <w:sz w:val="16"/>
                <w:szCs w:val="16"/>
              </w:rPr>
            </w:pPr>
            <w:r w:rsidRPr="001F00C9">
              <w:rPr>
                <w:rFonts w:cs="Arial"/>
                <w:b/>
                <w:sz w:val="16"/>
                <w:szCs w:val="16"/>
              </w:rPr>
              <w:t>Monthly CLIMAT</w:t>
            </w:r>
          </w:p>
        </w:tc>
        <w:tc>
          <w:tcPr>
            <w:tcW w:w="2268" w:type="dxa"/>
          </w:tcPr>
          <w:p w:rsidR="00EE1BBC" w:rsidRPr="001F00C9" w:rsidRDefault="00EE1BBC" w:rsidP="00B108C1">
            <w:pPr>
              <w:jc w:val="center"/>
              <w:rPr>
                <w:rFonts w:cs="Arial"/>
                <w:b/>
                <w:sz w:val="18"/>
                <w:szCs w:val="18"/>
              </w:rPr>
            </w:pPr>
            <w:r w:rsidRPr="001F00C9">
              <w:rPr>
                <w:rFonts w:cs="Arial"/>
                <w:b/>
                <w:sz w:val="18"/>
                <w:szCs w:val="18"/>
              </w:rPr>
              <w:t>0</w:t>
            </w:r>
          </w:p>
          <w:p w:rsidR="00EE1BBC" w:rsidRPr="001F00C9" w:rsidRDefault="00EE1BBC" w:rsidP="00B108C1">
            <w:pPr>
              <w:jc w:val="center"/>
              <w:rPr>
                <w:rFonts w:cs="Arial"/>
                <w:b/>
                <w:sz w:val="16"/>
                <w:szCs w:val="16"/>
              </w:rPr>
            </w:pPr>
            <w:r w:rsidRPr="001F00C9">
              <w:rPr>
                <w:rFonts w:cs="Arial"/>
                <w:b/>
                <w:sz w:val="16"/>
                <w:szCs w:val="16"/>
              </w:rPr>
              <w:t>Monthly CLIMAT</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RA-I</w:t>
            </w:r>
          </w:p>
        </w:tc>
        <w:tc>
          <w:tcPr>
            <w:tcW w:w="542" w:type="dxa"/>
            <w:vAlign w:val="center"/>
          </w:tcPr>
          <w:p w:rsidR="00EE1BBC" w:rsidRPr="001F00C9" w:rsidRDefault="00EE1BBC" w:rsidP="00B108C1">
            <w:pPr>
              <w:rPr>
                <w:rFonts w:cs="Arial"/>
                <w:sz w:val="16"/>
                <w:szCs w:val="16"/>
              </w:rPr>
            </w:pPr>
            <w:r w:rsidRPr="001F00C9">
              <w:rPr>
                <w:rFonts w:cs="Arial"/>
                <w:sz w:val="16"/>
                <w:szCs w:val="16"/>
              </w:rPr>
              <w:t>155</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36%</w:t>
            </w:r>
            <w:r w:rsidRPr="001F00C9">
              <w:rPr>
                <w:rFonts w:cs="Arial"/>
                <w:sz w:val="16"/>
                <w:szCs w:val="16"/>
              </w:rPr>
              <w:t xml:space="preserve"> </w:t>
            </w:r>
            <w:r w:rsidRPr="001F00C9">
              <w:rPr>
                <w:rFonts w:cs="Arial"/>
                <w:sz w:val="14"/>
                <w:szCs w:val="14"/>
              </w:rPr>
              <w:t>(40,29,29,32,28, 23)</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30%</w:t>
            </w:r>
            <w:r w:rsidRPr="001F00C9">
              <w:rPr>
                <w:rFonts w:cs="Arial"/>
                <w:sz w:val="16"/>
                <w:szCs w:val="16"/>
              </w:rPr>
              <w:t xml:space="preserve"> </w:t>
            </w:r>
            <w:r w:rsidRPr="001F00C9">
              <w:rPr>
                <w:rFonts w:cs="Arial"/>
                <w:sz w:val="14"/>
                <w:szCs w:val="14"/>
              </w:rPr>
              <w:t>(25,31,33,33,36,39)</w:t>
            </w:r>
          </w:p>
        </w:tc>
        <w:tc>
          <w:tcPr>
            <w:tcW w:w="2126" w:type="dxa"/>
            <w:vAlign w:val="center"/>
          </w:tcPr>
          <w:p w:rsidR="00EE1BBC" w:rsidRPr="001F00C9" w:rsidRDefault="00EE1BBC" w:rsidP="00B108C1">
            <w:pPr>
              <w:rPr>
                <w:rFonts w:cs="Arial"/>
                <w:sz w:val="16"/>
                <w:szCs w:val="16"/>
              </w:rPr>
            </w:pPr>
            <w:r w:rsidRPr="001F00C9">
              <w:rPr>
                <w:rFonts w:cs="Arial"/>
                <w:b/>
                <w:sz w:val="16"/>
                <w:szCs w:val="16"/>
              </w:rPr>
              <w:t>4%</w:t>
            </w:r>
            <w:r w:rsidRPr="001F00C9">
              <w:rPr>
                <w:rFonts w:cs="Arial"/>
                <w:sz w:val="16"/>
                <w:szCs w:val="16"/>
              </w:rPr>
              <w:t xml:space="preserve"> </w:t>
            </w:r>
            <w:r w:rsidRPr="001F00C9">
              <w:rPr>
                <w:rFonts w:cs="Arial"/>
                <w:sz w:val="14"/>
                <w:szCs w:val="14"/>
              </w:rPr>
              <w:t>(9,15,10,10,11,14)</w:t>
            </w:r>
          </w:p>
        </w:tc>
        <w:tc>
          <w:tcPr>
            <w:tcW w:w="2268" w:type="dxa"/>
            <w:vAlign w:val="center"/>
          </w:tcPr>
          <w:p w:rsidR="00EE1BBC" w:rsidRPr="001F00C9" w:rsidRDefault="00EE1BBC" w:rsidP="00B108C1">
            <w:pPr>
              <w:rPr>
                <w:rFonts w:cs="Arial"/>
                <w:sz w:val="16"/>
                <w:szCs w:val="16"/>
              </w:rPr>
            </w:pPr>
            <w:r w:rsidRPr="001F00C9">
              <w:rPr>
                <w:rFonts w:cs="Arial"/>
                <w:b/>
                <w:sz w:val="16"/>
                <w:szCs w:val="16"/>
              </w:rPr>
              <w:t>30%</w:t>
            </w:r>
            <w:r w:rsidRPr="001F00C9">
              <w:rPr>
                <w:rFonts w:cs="Arial"/>
                <w:sz w:val="16"/>
                <w:szCs w:val="16"/>
              </w:rPr>
              <w:t xml:space="preserve"> </w:t>
            </w:r>
            <w:r w:rsidRPr="001F00C9">
              <w:rPr>
                <w:rFonts w:cs="Arial"/>
                <w:sz w:val="14"/>
                <w:szCs w:val="14"/>
              </w:rPr>
              <w:t>(26,25,28,25,25,24)</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RA-II</w:t>
            </w:r>
          </w:p>
        </w:tc>
        <w:tc>
          <w:tcPr>
            <w:tcW w:w="542" w:type="dxa"/>
            <w:vAlign w:val="center"/>
          </w:tcPr>
          <w:p w:rsidR="00EE1BBC" w:rsidRPr="001F00C9" w:rsidRDefault="00EE1BBC" w:rsidP="00B108C1">
            <w:pPr>
              <w:rPr>
                <w:rFonts w:cs="Arial"/>
                <w:sz w:val="16"/>
                <w:szCs w:val="16"/>
              </w:rPr>
            </w:pPr>
            <w:r w:rsidRPr="001F00C9">
              <w:rPr>
                <w:rFonts w:cs="Arial"/>
                <w:sz w:val="16"/>
                <w:szCs w:val="16"/>
              </w:rPr>
              <w:t>258</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81%</w:t>
            </w:r>
            <w:r w:rsidRPr="001F00C9">
              <w:rPr>
                <w:rFonts w:cs="Arial"/>
                <w:sz w:val="16"/>
                <w:szCs w:val="16"/>
              </w:rPr>
              <w:t xml:space="preserve"> </w:t>
            </w:r>
            <w:r w:rsidRPr="001F00C9">
              <w:rPr>
                <w:rFonts w:cs="Arial"/>
                <w:sz w:val="14"/>
                <w:szCs w:val="14"/>
              </w:rPr>
              <w:t>(83,78,71,73,73,75)</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13%</w:t>
            </w:r>
            <w:r w:rsidRPr="001F00C9">
              <w:rPr>
                <w:rFonts w:cs="Arial"/>
                <w:sz w:val="16"/>
                <w:szCs w:val="16"/>
              </w:rPr>
              <w:t xml:space="preserve"> </w:t>
            </w:r>
            <w:r w:rsidRPr="001F00C9">
              <w:rPr>
                <w:rFonts w:cs="Arial"/>
                <w:sz w:val="14"/>
                <w:szCs w:val="14"/>
              </w:rPr>
              <w:t>(10,14,21,19,19,19)</w:t>
            </w:r>
          </w:p>
        </w:tc>
        <w:tc>
          <w:tcPr>
            <w:tcW w:w="2126" w:type="dxa"/>
            <w:vAlign w:val="center"/>
          </w:tcPr>
          <w:p w:rsidR="00EE1BBC" w:rsidRPr="001F00C9" w:rsidRDefault="00EE1BBC" w:rsidP="00B108C1">
            <w:pPr>
              <w:rPr>
                <w:rFonts w:cs="Arial"/>
                <w:sz w:val="16"/>
                <w:szCs w:val="16"/>
              </w:rPr>
            </w:pPr>
            <w:r w:rsidRPr="001F00C9">
              <w:rPr>
                <w:rFonts w:cs="Arial"/>
                <w:b/>
                <w:sz w:val="16"/>
                <w:szCs w:val="16"/>
              </w:rPr>
              <w:t>0%</w:t>
            </w:r>
            <w:r w:rsidRPr="001F00C9">
              <w:rPr>
                <w:rFonts w:cs="Arial"/>
                <w:sz w:val="16"/>
                <w:szCs w:val="16"/>
              </w:rPr>
              <w:t xml:space="preserve"> </w:t>
            </w:r>
            <w:r w:rsidRPr="001F00C9">
              <w:rPr>
                <w:rFonts w:cs="Arial"/>
                <w:sz w:val="14"/>
                <w:szCs w:val="14"/>
              </w:rPr>
              <w:t>(2, 2, 3, 2, 2, 1)</w:t>
            </w:r>
          </w:p>
        </w:tc>
        <w:tc>
          <w:tcPr>
            <w:tcW w:w="2268" w:type="dxa"/>
            <w:vAlign w:val="center"/>
          </w:tcPr>
          <w:p w:rsidR="00EE1BBC" w:rsidRPr="001F00C9" w:rsidRDefault="00EE1BBC" w:rsidP="00B108C1">
            <w:pPr>
              <w:rPr>
                <w:rFonts w:cs="Arial"/>
                <w:sz w:val="16"/>
                <w:szCs w:val="16"/>
              </w:rPr>
            </w:pPr>
            <w:r w:rsidRPr="001F00C9">
              <w:rPr>
                <w:rFonts w:cs="Arial"/>
                <w:b/>
                <w:sz w:val="16"/>
                <w:szCs w:val="16"/>
              </w:rPr>
              <w:t>6%</w:t>
            </w:r>
            <w:r w:rsidRPr="001F00C9">
              <w:rPr>
                <w:rFonts w:cs="Arial"/>
                <w:sz w:val="16"/>
                <w:szCs w:val="16"/>
              </w:rPr>
              <w:t xml:space="preserve"> </w:t>
            </w:r>
            <w:r w:rsidRPr="001F00C9">
              <w:rPr>
                <w:rFonts w:cs="Arial"/>
                <w:sz w:val="14"/>
                <w:szCs w:val="14"/>
              </w:rPr>
              <w:t>(5, 6, 5, 6, 6, 5)</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RA-III</w:t>
            </w:r>
          </w:p>
        </w:tc>
        <w:tc>
          <w:tcPr>
            <w:tcW w:w="542" w:type="dxa"/>
            <w:vAlign w:val="center"/>
          </w:tcPr>
          <w:p w:rsidR="00EE1BBC" w:rsidRPr="001F00C9" w:rsidRDefault="00EE1BBC" w:rsidP="00B108C1">
            <w:pPr>
              <w:rPr>
                <w:rFonts w:cs="Arial"/>
                <w:sz w:val="16"/>
                <w:szCs w:val="16"/>
              </w:rPr>
            </w:pPr>
            <w:r w:rsidRPr="001F00C9">
              <w:rPr>
                <w:rFonts w:cs="Arial"/>
                <w:sz w:val="16"/>
                <w:szCs w:val="16"/>
              </w:rPr>
              <w:t>101</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57%</w:t>
            </w:r>
            <w:r w:rsidRPr="001F00C9">
              <w:rPr>
                <w:rFonts w:cs="Arial"/>
                <w:sz w:val="16"/>
                <w:szCs w:val="16"/>
              </w:rPr>
              <w:t xml:space="preserve"> </w:t>
            </w:r>
            <w:r w:rsidRPr="001F00C9">
              <w:rPr>
                <w:rFonts w:cs="Arial"/>
                <w:sz w:val="14"/>
                <w:szCs w:val="14"/>
              </w:rPr>
              <w:t>(65,61,76,89,84,69)</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20%</w:t>
            </w:r>
            <w:r w:rsidRPr="001F00C9">
              <w:rPr>
                <w:rFonts w:cs="Arial"/>
                <w:sz w:val="16"/>
                <w:szCs w:val="16"/>
              </w:rPr>
              <w:t xml:space="preserve"> </w:t>
            </w:r>
            <w:r w:rsidRPr="001F00C9">
              <w:rPr>
                <w:rFonts w:cs="Arial"/>
                <w:sz w:val="14"/>
                <w:szCs w:val="14"/>
              </w:rPr>
              <w:t>(29,35,20,6,13,28)</w:t>
            </w:r>
          </w:p>
        </w:tc>
        <w:tc>
          <w:tcPr>
            <w:tcW w:w="2126" w:type="dxa"/>
            <w:vAlign w:val="center"/>
          </w:tcPr>
          <w:p w:rsidR="00EE1BBC" w:rsidRPr="001F00C9" w:rsidRDefault="00EE1BBC" w:rsidP="00B108C1">
            <w:pPr>
              <w:rPr>
                <w:rFonts w:cs="Arial"/>
                <w:sz w:val="16"/>
                <w:szCs w:val="16"/>
              </w:rPr>
            </w:pPr>
            <w:r w:rsidRPr="001F00C9">
              <w:rPr>
                <w:rFonts w:cs="Arial"/>
                <w:b/>
                <w:sz w:val="16"/>
                <w:szCs w:val="16"/>
              </w:rPr>
              <w:t>17%</w:t>
            </w:r>
            <w:r w:rsidRPr="001F00C9">
              <w:rPr>
                <w:rFonts w:cs="Arial"/>
                <w:sz w:val="16"/>
                <w:szCs w:val="16"/>
              </w:rPr>
              <w:t xml:space="preserve"> </w:t>
            </w:r>
            <w:r w:rsidRPr="001F00C9">
              <w:rPr>
                <w:rFonts w:cs="Arial"/>
                <w:sz w:val="14"/>
                <w:szCs w:val="14"/>
              </w:rPr>
              <w:t>(0, 0, 1, 0, 0, 0)</w:t>
            </w:r>
          </w:p>
        </w:tc>
        <w:tc>
          <w:tcPr>
            <w:tcW w:w="2268" w:type="dxa"/>
            <w:vAlign w:val="center"/>
          </w:tcPr>
          <w:p w:rsidR="00EE1BBC" w:rsidRPr="001F00C9" w:rsidRDefault="00EE1BBC" w:rsidP="00B108C1">
            <w:pPr>
              <w:rPr>
                <w:rFonts w:cs="Arial"/>
                <w:sz w:val="16"/>
                <w:szCs w:val="16"/>
              </w:rPr>
            </w:pPr>
            <w:r w:rsidRPr="001F00C9">
              <w:rPr>
                <w:rFonts w:cs="Arial"/>
                <w:b/>
                <w:sz w:val="16"/>
                <w:szCs w:val="16"/>
              </w:rPr>
              <w:t>6%</w:t>
            </w:r>
            <w:r w:rsidRPr="001F00C9">
              <w:rPr>
                <w:rFonts w:cs="Arial"/>
                <w:sz w:val="16"/>
                <w:szCs w:val="16"/>
              </w:rPr>
              <w:t xml:space="preserve"> </w:t>
            </w:r>
            <w:r w:rsidRPr="001F00C9">
              <w:rPr>
                <w:rFonts w:cs="Arial"/>
                <w:sz w:val="14"/>
                <w:szCs w:val="14"/>
              </w:rPr>
              <w:t>(6, 4, 3, 5, 3, 3)</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RA-IV</w:t>
            </w:r>
          </w:p>
        </w:tc>
        <w:tc>
          <w:tcPr>
            <w:tcW w:w="542" w:type="dxa"/>
            <w:vAlign w:val="center"/>
          </w:tcPr>
          <w:p w:rsidR="00EE1BBC" w:rsidRPr="001F00C9" w:rsidRDefault="00EE1BBC" w:rsidP="00B108C1">
            <w:pPr>
              <w:rPr>
                <w:rFonts w:cs="Arial"/>
                <w:sz w:val="16"/>
                <w:szCs w:val="16"/>
              </w:rPr>
            </w:pPr>
            <w:r w:rsidRPr="001F00C9">
              <w:rPr>
                <w:rFonts w:cs="Arial"/>
                <w:sz w:val="16"/>
                <w:szCs w:val="16"/>
              </w:rPr>
              <w:t>178</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89%</w:t>
            </w:r>
            <w:r w:rsidRPr="001F00C9">
              <w:rPr>
                <w:rFonts w:cs="Arial"/>
                <w:sz w:val="16"/>
                <w:szCs w:val="16"/>
              </w:rPr>
              <w:t xml:space="preserve"> </w:t>
            </w:r>
            <w:r w:rsidRPr="001F00C9">
              <w:rPr>
                <w:rFonts w:cs="Arial"/>
                <w:sz w:val="14"/>
                <w:szCs w:val="14"/>
              </w:rPr>
              <w:t>(90,88,88,88,81,80)</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7%</w:t>
            </w:r>
            <w:r w:rsidRPr="001F00C9">
              <w:rPr>
                <w:rFonts w:cs="Arial"/>
                <w:sz w:val="16"/>
                <w:szCs w:val="16"/>
              </w:rPr>
              <w:t xml:space="preserve"> </w:t>
            </w:r>
            <w:r w:rsidRPr="001F00C9">
              <w:rPr>
                <w:rFonts w:cs="Arial"/>
                <w:sz w:val="14"/>
                <w:szCs w:val="14"/>
              </w:rPr>
              <w:t>(7, 9,10,11,17,18)</w:t>
            </w:r>
          </w:p>
        </w:tc>
        <w:tc>
          <w:tcPr>
            <w:tcW w:w="2126" w:type="dxa"/>
            <w:vAlign w:val="center"/>
          </w:tcPr>
          <w:p w:rsidR="00EE1BBC" w:rsidRPr="001F00C9" w:rsidRDefault="00EE1BBC" w:rsidP="00B108C1">
            <w:pPr>
              <w:rPr>
                <w:rFonts w:cs="Arial"/>
                <w:sz w:val="16"/>
                <w:szCs w:val="16"/>
              </w:rPr>
            </w:pPr>
            <w:r w:rsidRPr="001F00C9">
              <w:rPr>
                <w:rFonts w:cs="Arial"/>
                <w:b/>
                <w:sz w:val="16"/>
                <w:szCs w:val="16"/>
              </w:rPr>
              <w:t>4%</w:t>
            </w:r>
            <w:r w:rsidRPr="001F00C9">
              <w:rPr>
                <w:rFonts w:cs="Arial"/>
                <w:sz w:val="16"/>
                <w:szCs w:val="16"/>
              </w:rPr>
              <w:t xml:space="preserve"> </w:t>
            </w:r>
            <w:r w:rsidRPr="001F00C9">
              <w:rPr>
                <w:rFonts w:cs="Arial"/>
                <w:sz w:val="14"/>
                <w:szCs w:val="14"/>
              </w:rPr>
              <w:t>(2, 2, 1, 1, 1, 1)</w:t>
            </w:r>
          </w:p>
        </w:tc>
        <w:tc>
          <w:tcPr>
            <w:tcW w:w="2268" w:type="dxa"/>
            <w:vAlign w:val="center"/>
          </w:tcPr>
          <w:p w:rsidR="00EE1BBC" w:rsidRPr="001F00C9" w:rsidRDefault="00EE1BBC" w:rsidP="00B108C1">
            <w:pPr>
              <w:rPr>
                <w:rFonts w:cs="Arial"/>
                <w:sz w:val="16"/>
                <w:szCs w:val="16"/>
              </w:rPr>
            </w:pPr>
            <w:r w:rsidRPr="001F00C9">
              <w:rPr>
                <w:rFonts w:cs="Arial"/>
                <w:b/>
                <w:sz w:val="16"/>
                <w:szCs w:val="16"/>
              </w:rPr>
              <w:t>0%</w:t>
            </w:r>
            <w:r w:rsidRPr="001F00C9">
              <w:rPr>
                <w:rFonts w:cs="Arial"/>
                <w:sz w:val="16"/>
                <w:szCs w:val="16"/>
              </w:rPr>
              <w:t xml:space="preserve"> </w:t>
            </w:r>
            <w:r w:rsidRPr="001F00C9">
              <w:rPr>
                <w:rFonts w:cs="Arial"/>
                <w:sz w:val="14"/>
                <w:szCs w:val="14"/>
              </w:rPr>
              <w:t>(1, 1, 1, 0, 1, 1)</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RA-V</w:t>
            </w:r>
          </w:p>
        </w:tc>
        <w:tc>
          <w:tcPr>
            <w:tcW w:w="542" w:type="dxa"/>
            <w:vAlign w:val="center"/>
          </w:tcPr>
          <w:p w:rsidR="00EE1BBC" w:rsidRPr="001F00C9" w:rsidRDefault="00EE1BBC" w:rsidP="00B108C1">
            <w:pPr>
              <w:rPr>
                <w:rFonts w:cs="Arial"/>
                <w:sz w:val="16"/>
                <w:szCs w:val="16"/>
              </w:rPr>
            </w:pPr>
            <w:r w:rsidRPr="001F00C9">
              <w:rPr>
                <w:rFonts w:cs="Arial"/>
                <w:sz w:val="16"/>
                <w:szCs w:val="16"/>
              </w:rPr>
              <w:t>151</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62%</w:t>
            </w:r>
            <w:r w:rsidRPr="001F00C9">
              <w:rPr>
                <w:rFonts w:cs="Arial"/>
                <w:sz w:val="16"/>
                <w:szCs w:val="16"/>
              </w:rPr>
              <w:t xml:space="preserve"> </w:t>
            </w:r>
            <w:r w:rsidRPr="001F00C9">
              <w:rPr>
                <w:rFonts w:cs="Arial"/>
                <w:sz w:val="14"/>
                <w:szCs w:val="14"/>
              </w:rPr>
              <w:t>(67, 66,70,63,58,52)</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20%</w:t>
            </w:r>
            <w:r w:rsidRPr="001F00C9">
              <w:rPr>
                <w:rFonts w:cs="Arial"/>
                <w:sz w:val="16"/>
                <w:szCs w:val="16"/>
              </w:rPr>
              <w:t xml:space="preserve"> </w:t>
            </w:r>
            <w:r w:rsidRPr="001F00C9">
              <w:rPr>
                <w:rFonts w:cs="Arial"/>
                <w:sz w:val="14"/>
                <w:szCs w:val="14"/>
              </w:rPr>
              <w:t>(15,16,17,16,23,34)</w:t>
            </w:r>
          </w:p>
        </w:tc>
        <w:tc>
          <w:tcPr>
            <w:tcW w:w="2126" w:type="dxa"/>
            <w:vAlign w:val="center"/>
          </w:tcPr>
          <w:p w:rsidR="00EE1BBC" w:rsidRPr="001F00C9" w:rsidRDefault="00EE1BBC" w:rsidP="00B108C1">
            <w:pPr>
              <w:rPr>
                <w:rFonts w:cs="Arial"/>
                <w:sz w:val="16"/>
                <w:szCs w:val="16"/>
              </w:rPr>
            </w:pPr>
            <w:r w:rsidRPr="001F00C9">
              <w:rPr>
                <w:rFonts w:cs="Arial"/>
                <w:b/>
                <w:sz w:val="16"/>
                <w:szCs w:val="16"/>
              </w:rPr>
              <w:t>2%</w:t>
            </w:r>
            <w:r w:rsidRPr="001F00C9">
              <w:rPr>
                <w:rFonts w:cs="Arial"/>
                <w:sz w:val="16"/>
                <w:szCs w:val="16"/>
              </w:rPr>
              <w:t xml:space="preserve"> </w:t>
            </w:r>
            <w:r w:rsidRPr="001F00C9">
              <w:rPr>
                <w:rFonts w:cs="Arial"/>
                <w:sz w:val="14"/>
                <w:szCs w:val="14"/>
              </w:rPr>
              <w:t>(3, 4, 1, 7, 7, 1)</w:t>
            </w:r>
          </w:p>
        </w:tc>
        <w:tc>
          <w:tcPr>
            <w:tcW w:w="2268" w:type="dxa"/>
            <w:vAlign w:val="center"/>
          </w:tcPr>
          <w:p w:rsidR="00EE1BBC" w:rsidRPr="001F00C9" w:rsidRDefault="00EE1BBC" w:rsidP="00B108C1">
            <w:pPr>
              <w:rPr>
                <w:rFonts w:cs="Arial"/>
                <w:sz w:val="16"/>
                <w:szCs w:val="16"/>
              </w:rPr>
            </w:pPr>
            <w:r w:rsidRPr="001F00C9">
              <w:rPr>
                <w:rFonts w:cs="Arial"/>
                <w:b/>
                <w:sz w:val="16"/>
                <w:szCs w:val="16"/>
              </w:rPr>
              <w:t>16%</w:t>
            </w:r>
            <w:r w:rsidRPr="001F00C9">
              <w:rPr>
                <w:rFonts w:cs="Arial"/>
                <w:sz w:val="16"/>
                <w:szCs w:val="16"/>
              </w:rPr>
              <w:t xml:space="preserve"> </w:t>
            </w:r>
            <w:r w:rsidRPr="001F00C9">
              <w:rPr>
                <w:rFonts w:cs="Arial"/>
                <w:sz w:val="14"/>
                <w:szCs w:val="14"/>
              </w:rPr>
              <w:t>(15,14,13,14,12,11)</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RA-VI</w:t>
            </w:r>
          </w:p>
        </w:tc>
        <w:tc>
          <w:tcPr>
            <w:tcW w:w="542" w:type="dxa"/>
            <w:vAlign w:val="center"/>
          </w:tcPr>
          <w:p w:rsidR="00EE1BBC" w:rsidRPr="001F00C9" w:rsidRDefault="00EE1BBC" w:rsidP="00B108C1">
            <w:pPr>
              <w:rPr>
                <w:rFonts w:cs="Arial"/>
                <w:sz w:val="16"/>
                <w:szCs w:val="16"/>
              </w:rPr>
            </w:pPr>
            <w:r w:rsidRPr="001F00C9">
              <w:rPr>
                <w:rFonts w:cs="Arial"/>
                <w:sz w:val="16"/>
                <w:szCs w:val="16"/>
              </w:rPr>
              <w:t>138</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82%</w:t>
            </w:r>
            <w:r w:rsidRPr="001F00C9">
              <w:rPr>
                <w:rFonts w:cs="Arial"/>
                <w:sz w:val="16"/>
                <w:szCs w:val="16"/>
              </w:rPr>
              <w:t xml:space="preserve"> </w:t>
            </w:r>
            <w:r w:rsidRPr="001F00C9">
              <w:rPr>
                <w:rFonts w:cs="Arial"/>
                <w:sz w:val="14"/>
                <w:szCs w:val="14"/>
              </w:rPr>
              <w:t>(84,77,80,82,78,81)</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7%</w:t>
            </w:r>
            <w:r w:rsidRPr="001F00C9">
              <w:rPr>
                <w:rFonts w:cs="Arial"/>
                <w:sz w:val="16"/>
                <w:szCs w:val="16"/>
              </w:rPr>
              <w:t xml:space="preserve"> </w:t>
            </w:r>
            <w:r w:rsidRPr="001F00C9">
              <w:rPr>
                <w:rFonts w:cs="Arial"/>
                <w:sz w:val="14"/>
                <w:szCs w:val="14"/>
              </w:rPr>
              <w:t>(7,14, 9,12,17,15)</w:t>
            </w:r>
          </w:p>
        </w:tc>
        <w:tc>
          <w:tcPr>
            <w:tcW w:w="2126" w:type="dxa"/>
            <w:vAlign w:val="center"/>
          </w:tcPr>
          <w:p w:rsidR="00EE1BBC" w:rsidRPr="001F00C9" w:rsidRDefault="00EE1BBC" w:rsidP="00B108C1">
            <w:pPr>
              <w:rPr>
                <w:rFonts w:cs="Arial"/>
                <w:sz w:val="16"/>
                <w:szCs w:val="16"/>
              </w:rPr>
            </w:pPr>
            <w:r w:rsidRPr="001F00C9">
              <w:rPr>
                <w:rFonts w:cs="Arial"/>
                <w:b/>
                <w:sz w:val="16"/>
                <w:szCs w:val="16"/>
              </w:rPr>
              <w:t>4%</w:t>
            </w:r>
            <w:r w:rsidRPr="001F00C9">
              <w:rPr>
                <w:rFonts w:cs="Arial"/>
                <w:sz w:val="16"/>
                <w:szCs w:val="16"/>
              </w:rPr>
              <w:t xml:space="preserve"> </w:t>
            </w:r>
            <w:r w:rsidRPr="001F00C9">
              <w:rPr>
                <w:rFonts w:cs="Arial"/>
                <w:sz w:val="14"/>
                <w:szCs w:val="14"/>
              </w:rPr>
              <w:t>(2, 3, 5, 2, 1, 0)</w:t>
            </w:r>
          </w:p>
        </w:tc>
        <w:tc>
          <w:tcPr>
            <w:tcW w:w="2268" w:type="dxa"/>
            <w:vAlign w:val="center"/>
          </w:tcPr>
          <w:p w:rsidR="00EE1BBC" w:rsidRPr="001F00C9" w:rsidRDefault="00EE1BBC" w:rsidP="00B108C1">
            <w:pPr>
              <w:rPr>
                <w:rFonts w:cs="Arial"/>
                <w:sz w:val="16"/>
                <w:szCs w:val="16"/>
              </w:rPr>
            </w:pPr>
            <w:r w:rsidRPr="001F00C9">
              <w:rPr>
                <w:rFonts w:cs="Arial"/>
                <w:b/>
                <w:sz w:val="16"/>
                <w:szCs w:val="16"/>
              </w:rPr>
              <w:t>7%</w:t>
            </w:r>
            <w:r w:rsidRPr="001F00C9">
              <w:rPr>
                <w:rFonts w:cs="Arial"/>
                <w:sz w:val="16"/>
                <w:szCs w:val="16"/>
              </w:rPr>
              <w:t xml:space="preserve"> </w:t>
            </w:r>
            <w:r w:rsidRPr="001F00C9">
              <w:rPr>
                <w:rFonts w:cs="Arial"/>
                <w:sz w:val="14"/>
                <w:szCs w:val="14"/>
              </w:rPr>
              <w:t>(7, 6, 6, 4, 4, 4)</w:t>
            </w:r>
          </w:p>
        </w:tc>
      </w:tr>
      <w:tr w:rsidR="00EE1BBC" w:rsidRPr="001F00C9" w:rsidTr="00B108C1">
        <w:trPr>
          <w:trHeight w:val="510"/>
        </w:trPr>
        <w:tc>
          <w:tcPr>
            <w:tcW w:w="760" w:type="dxa"/>
            <w:vAlign w:val="center"/>
          </w:tcPr>
          <w:p w:rsidR="00EE1BBC" w:rsidRPr="001F00C9" w:rsidRDefault="00EE1BBC" w:rsidP="00B108C1">
            <w:pPr>
              <w:rPr>
                <w:rFonts w:cs="Arial"/>
                <w:sz w:val="18"/>
                <w:szCs w:val="18"/>
              </w:rPr>
            </w:pPr>
            <w:r w:rsidRPr="001F00C9">
              <w:rPr>
                <w:rFonts w:cs="Arial"/>
                <w:sz w:val="18"/>
                <w:szCs w:val="18"/>
              </w:rPr>
              <w:t>ANTON</w:t>
            </w:r>
          </w:p>
        </w:tc>
        <w:tc>
          <w:tcPr>
            <w:tcW w:w="542" w:type="dxa"/>
            <w:vAlign w:val="center"/>
          </w:tcPr>
          <w:p w:rsidR="00EE1BBC" w:rsidRPr="001F00C9" w:rsidRDefault="00EE1BBC" w:rsidP="00B108C1">
            <w:pPr>
              <w:rPr>
                <w:rFonts w:cs="Arial"/>
                <w:sz w:val="16"/>
                <w:szCs w:val="16"/>
              </w:rPr>
            </w:pPr>
            <w:r w:rsidRPr="001F00C9">
              <w:rPr>
                <w:rFonts w:cs="Arial"/>
                <w:sz w:val="16"/>
                <w:szCs w:val="16"/>
              </w:rPr>
              <w:t>42</w:t>
            </w:r>
          </w:p>
        </w:tc>
        <w:tc>
          <w:tcPr>
            <w:tcW w:w="2268" w:type="dxa"/>
            <w:tcBorders>
              <w:righ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81%</w:t>
            </w:r>
            <w:r w:rsidRPr="001F00C9">
              <w:rPr>
                <w:rFonts w:cs="Arial"/>
                <w:sz w:val="16"/>
                <w:szCs w:val="16"/>
              </w:rPr>
              <w:t xml:space="preserve"> </w:t>
            </w:r>
            <w:r w:rsidRPr="001F00C9">
              <w:rPr>
                <w:rFonts w:cs="Arial"/>
                <w:sz w:val="14"/>
                <w:szCs w:val="14"/>
              </w:rPr>
              <w:t>(81,77,79,60,45,50)</w:t>
            </w:r>
          </w:p>
        </w:tc>
        <w:tc>
          <w:tcPr>
            <w:tcW w:w="2268" w:type="dxa"/>
            <w:tcBorders>
              <w:left w:val="single" w:sz="12" w:space="0" w:color="auto"/>
            </w:tcBorders>
            <w:vAlign w:val="center"/>
          </w:tcPr>
          <w:p w:rsidR="00EE1BBC" w:rsidRPr="001F00C9" w:rsidRDefault="00EE1BBC" w:rsidP="00B108C1">
            <w:pPr>
              <w:rPr>
                <w:rFonts w:cs="Arial"/>
                <w:sz w:val="16"/>
                <w:szCs w:val="16"/>
              </w:rPr>
            </w:pPr>
            <w:r w:rsidRPr="001F00C9">
              <w:rPr>
                <w:rFonts w:cs="Arial"/>
                <w:b/>
                <w:sz w:val="16"/>
                <w:szCs w:val="16"/>
              </w:rPr>
              <w:t>19%</w:t>
            </w:r>
            <w:r w:rsidRPr="001F00C9">
              <w:rPr>
                <w:rFonts w:cs="Arial"/>
                <w:sz w:val="16"/>
                <w:szCs w:val="16"/>
              </w:rPr>
              <w:t xml:space="preserve"> </w:t>
            </w:r>
            <w:r w:rsidRPr="001F00C9">
              <w:rPr>
                <w:rFonts w:cs="Arial"/>
                <w:sz w:val="14"/>
                <w:szCs w:val="14"/>
              </w:rPr>
              <w:t>(17,19,19,36,43,33)</w:t>
            </w:r>
          </w:p>
        </w:tc>
        <w:tc>
          <w:tcPr>
            <w:tcW w:w="2126" w:type="dxa"/>
            <w:vAlign w:val="center"/>
          </w:tcPr>
          <w:p w:rsidR="00EE1BBC" w:rsidRPr="001F00C9" w:rsidRDefault="00EE1BBC" w:rsidP="00B108C1">
            <w:pPr>
              <w:rPr>
                <w:rFonts w:cs="Arial"/>
                <w:sz w:val="16"/>
                <w:szCs w:val="16"/>
              </w:rPr>
            </w:pPr>
            <w:r w:rsidRPr="001F00C9">
              <w:rPr>
                <w:rFonts w:cs="Arial"/>
                <w:b/>
                <w:sz w:val="16"/>
                <w:szCs w:val="16"/>
              </w:rPr>
              <w:t>0%</w:t>
            </w:r>
            <w:r w:rsidRPr="001F00C9">
              <w:rPr>
                <w:rFonts w:cs="Arial"/>
                <w:sz w:val="16"/>
                <w:szCs w:val="16"/>
              </w:rPr>
              <w:t xml:space="preserve"> </w:t>
            </w:r>
            <w:r w:rsidRPr="001F00C9">
              <w:rPr>
                <w:rFonts w:cs="Arial"/>
                <w:sz w:val="14"/>
                <w:szCs w:val="14"/>
              </w:rPr>
              <w:t>(2, 2, 2, 2, 5, 12)</w:t>
            </w:r>
          </w:p>
        </w:tc>
        <w:tc>
          <w:tcPr>
            <w:tcW w:w="2268" w:type="dxa"/>
            <w:vAlign w:val="center"/>
          </w:tcPr>
          <w:p w:rsidR="00EE1BBC" w:rsidRPr="001F00C9" w:rsidRDefault="00EE1BBC" w:rsidP="00B108C1">
            <w:pPr>
              <w:rPr>
                <w:rFonts w:cs="Arial"/>
                <w:sz w:val="16"/>
                <w:szCs w:val="16"/>
              </w:rPr>
            </w:pPr>
            <w:r w:rsidRPr="001F00C9">
              <w:rPr>
                <w:rFonts w:cs="Arial"/>
                <w:b/>
                <w:sz w:val="16"/>
                <w:szCs w:val="16"/>
              </w:rPr>
              <w:t>0%</w:t>
            </w:r>
            <w:r w:rsidRPr="001F00C9">
              <w:rPr>
                <w:rFonts w:cs="Arial"/>
                <w:sz w:val="16"/>
                <w:szCs w:val="16"/>
              </w:rPr>
              <w:t xml:space="preserve"> </w:t>
            </w:r>
            <w:r w:rsidRPr="001F00C9">
              <w:rPr>
                <w:rFonts w:cs="Arial"/>
                <w:sz w:val="14"/>
                <w:szCs w:val="14"/>
              </w:rPr>
              <w:t>(0, 2, 0, 2, 7, 5)</w:t>
            </w:r>
          </w:p>
        </w:tc>
      </w:tr>
    </w:tbl>
    <w:p w:rsidR="00EE1BBC" w:rsidRPr="001F00C9" w:rsidRDefault="00EE1BBC" w:rsidP="00EE1BBC">
      <w:pPr>
        <w:rPr>
          <w:rFonts w:cs="Arial"/>
          <w:b/>
          <w:sz w:val="16"/>
          <w:szCs w:val="16"/>
        </w:rPr>
      </w:pPr>
      <w:r w:rsidRPr="001F00C9">
        <w:rPr>
          <w:rFonts w:cs="Arial"/>
          <w:b/>
          <w:sz w:val="16"/>
          <w:szCs w:val="16"/>
        </w:rPr>
        <w:t xml:space="preserve">        </w:t>
      </w:r>
    </w:p>
    <w:p w:rsidR="00EE1BBC" w:rsidRPr="001F00C9" w:rsidRDefault="00EE1BBC" w:rsidP="00EE1BBC">
      <w:pPr>
        <w:jc w:val="center"/>
        <w:rPr>
          <w:rFonts w:cs="Arial"/>
          <w:b/>
          <w:sz w:val="10"/>
          <w:szCs w:val="10"/>
        </w:rPr>
      </w:pPr>
    </w:p>
    <w:p w:rsidR="00EE1BBC" w:rsidRPr="001F00C9" w:rsidRDefault="00EE1BBC" w:rsidP="00EE1BBC">
      <w:pPr>
        <w:jc w:val="center"/>
        <w:rPr>
          <w:rFonts w:cs="Arial"/>
          <w:b/>
        </w:rPr>
      </w:pPr>
      <w:r w:rsidRPr="001F00C9">
        <w:rPr>
          <w:rFonts w:cs="Arial"/>
          <w:b/>
        </w:rPr>
        <w:t>Regional Basic Climatological Network (RBCN, includes the GSN above)</w:t>
      </w:r>
    </w:p>
    <w:p w:rsidR="00EE1BBC" w:rsidRPr="001F00C9" w:rsidRDefault="00EE1BBC" w:rsidP="00EE1BBC">
      <w:pPr>
        <w:rPr>
          <w:rFonts w:cs="Arial"/>
        </w:rPr>
      </w:pPr>
    </w:p>
    <w:tbl>
      <w:tblPr>
        <w:tblStyle w:val="TableGrid"/>
        <w:tblW w:w="10232" w:type="dxa"/>
        <w:tblLook w:val="04A0" w:firstRow="1" w:lastRow="0" w:firstColumn="1" w:lastColumn="0" w:noHBand="0" w:noVBand="1"/>
      </w:tblPr>
      <w:tblGrid>
        <w:gridCol w:w="827"/>
        <w:gridCol w:w="565"/>
        <w:gridCol w:w="2248"/>
        <w:gridCol w:w="2248"/>
        <w:gridCol w:w="2096"/>
        <w:gridCol w:w="2248"/>
      </w:tblGrid>
      <w:tr w:rsidR="00EE1BBC" w:rsidRPr="001F00C9" w:rsidTr="00B108C1">
        <w:trPr>
          <w:trHeight w:val="460"/>
        </w:trPr>
        <w:tc>
          <w:tcPr>
            <w:tcW w:w="735" w:type="dxa"/>
          </w:tcPr>
          <w:p w:rsidR="00EE1BBC" w:rsidRPr="001F00C9" w:rsidRDefault="00EE1BBC" w:rsidP="00B108C1">
            <w:pPr>
              <w:jc w:val="center"/>
              <w:rPr>
                <w:rFonts w:cs="Arial"/>
              </w:rPr>
            </w:pPr>
            <w:r w:rsidRPr="001F00C9">
              <w:rPr>
                <w:rFonts w:cs="Arial"/>
                <w:b/>
                <w:sz w:val="18"/>
                <w:szCs w:val="18"/>
              </w:rPr>
              <w:t>Region</w:t>
            </w:r>
          </w:p>
        </w:tc>
        <w:tc>
          <w:tcPr>
            <w:tcW w:w="567" w:type="dxa"/>
          </w:tcPr>
          <w:p w:rsidR="00EE1BBC" w:rsidRPr="001F00C9" w:rsidRDefault="00EE1BBC" w:rsidP="00B108C1">
            <w:pPr>
              <w:jc w:val="center"/>
              <w:rPr>
                <w:rFonts w:cs="Arial"/>
                <w:sz w:val="16"/>
                <w:szCs w:val="16"/>
              </w:rPr>
            </w:pPr>
            <w:r w:rsidRPr="001F00C9">
              <w:rPr>
                <w:rFonts w:cs="Arial"/>
                <w:b/>
                <w:sz w:val="16"/>
                <w:szCs w:val="16"/>
              </w:rPr>
              <w:t>No</w:t>
            </w:r>
            <w:r w:rsidRPr="001F00C9">
              <w:rPr>
                <w:rFonts w:cs="Arial"/>
                <w:sz w:val="16"/>
                <w:szCs w:val="16"/>
              </w:rPr>
              <w:t>.</w:t>
            </w:r>
          </w:p>
        </w:tc>
        <w:tc>
          <w:tcPr>
            <w:tcW w:w="2268" w:type="dxa"/>
            <w:tcBorders>
              <w:right w:val="single" w:sz="12" w:space="0" w:color="auto"/>
            </w:tcBorders>
          </w:tcPr>
          <w:p w:rsidR="00EE1BBC" w:rsidRPr="001F00C9" w:rsidRDefault="00EE1BBC" w:rsidP="00B108C1">
            <w:pPr>
              <w:jc w:val="center"/>
              <w:rPr>
                <w:rFonts w:cs="Arial"/>
              </w:rPr>
            </w:pPr>
            <w:r w:rsidRPr="001F00C9">
              <w:rPr>
                <w:rFonts w:cs="Arial"/>
                <w:b/>
                <w:sz w:val="18"/>
                <w:szCs w:val="18"/>
              </w:rPr>
              <w:t>12</w:t>
            </w:r>
            <w:r w:rsidRPr="001F00C9">
              <w:rPr>
                <w:rFonts w:cs="Arial"/>
              </w:rPr>
              <w:t xml:space="preserve"> </w:t>
            </w:r>
          </w:p>
          <w:p w:rsidR="00EE1BBC" w:rsidRPr="001F00C9" w:rsidRDefault="00EE1BBC" w:rsidP="00B108C1">
            <w:pPr>
              <w:jc w:val="center"/>
              <w:rPr>
                <w:rFonts w:cs="Arial"/>
                <w:sz w:val="14"/>
                <w:szCs w:val="14"/>
              </w:rPr>
            </w:pPr>
            <w:r w:rsidRPr="001F00C9">
              <w:rPr>
                <w:rFonts w:cs="Arial"/>
                <w:b/>
                <w:sz w:val="16"/>
                <w:szCs w:val="16"/>
              </w:rPr>
              <w:t>Monthly CLIMAT</w:t>
            </w:r>
          </w:p>
        </w:tc>
        <w:tc>
          <w:tcPr>
            <w:tcW w:w="2268" w:type="dxa"/>
            <w:tcBorders>
              <w:left w:val="single" w:sz="12" w:space="0" w:color="auto"/>
            </w:tcBorders>
          </w:tcPr>
          <w:p w:rsidR="00EE1BBC" w:rsidRPr="001F00C9" w:rsidRDefault="00EE1BBC" w:rsidP="00B108C1">
            <w:pPr>
              <w:jc w:val="center"/>
              <w:rPr>
                <w:rFonts w:cs="Arial"/>
                <w:b/>
                <w:sz w:val="18"/>
                <w:szCs w:val="18"/>
              </w:rPr>
            </w:pPr>
            <w:r w:rsidRPr="001F00C9">
              <w:rPr>
                <w:rFonts w:cs="Arial"/>
                <w:b/>
                <w:sz w:val="18"/>
                <w:szCs w:val="18"/>
              </w:rPr>
              <w:t xml:space="preserve">6 - 11 </w:t>
            </w:r>
          </w:p>
          <w:p w:rsidR="00EE1BBC" w:rsidRPr="001F00C9" w:rsidRDefault="00EE1BBC" w:rsidP="00B108C1">
            <w:pPr>
              <w:jc w:val="center"/>
              <w:rPr>
                <w:rFonts w:cs="Arial"/>
                <w:sz w:val="14"/>
                <w:szCs w:val="14"/>
              </w:rPr>
            </w:pPr>
            <w:r w:rsidRPr="001F00C9">
              <w:rPr>
                <w:rFonts w:cs="Arial"/>
                <w:b/>
                <w:sz w:val="16"/>
                <w:szCs w:val="16"/>
              </w:rPr>
              <w:t>Monthly CLIMAT</w:t>
            </w:r>
          </w:p>
        </w:tc>
        <w:tc>
          <w:tcPr>
            <w:tcW w:w="2126" w:type="dxa"/>
          </w:tcPr>
          <w:p w:rsidR="00EE1BBC" w:rsidRPr="001F00C9" w:rsidRDefault="00EE1BBC" w:rsidP="00B108C1">
            <w:pPr>
              <w:jc w:val="center"/>
              <w:rPr>
                <w:rFonts w:cs="Arial"/>
                <w:b/>
                <w:sz w:val="18"/>
                <w:szCs w:val="18"/>
              </w:rPr>
            </w:pPr>
            <w:r w:rsidRPr="001F00C9">
              <w:rPr>
                <w:rFonts w:cs="Arial"/>
                <w:b/>
                <w:sz w:val="18"/>
                <w:szCs w:val="18"/>
              </w:rPr>
              <w:t xml:space="preserve">1 - 5 </w:t>
            </w:r>
          </w:p>
          <w:p w:rsidR="00EE1BBC" w:rsidRPr="001F00C9" w:rsidRDefault="00EE1BBC" w:rsidP="00B108C1">
            <w:pPr>
              <w:jc w:val="center"/>
              <w:rPr>
                <w:rFonts w:cs="Arial"/>
                <w:sz w:val="14"/>
                <w:szCs w:val="14"/>
              </w:rPr>
            </w:pPr>
            <w:r w:rsidRPr="001F00C9">
              <w:rPr>
                <w:rFonts w:cs="Arial"/>
                <w:b/>
                <w:sz w:val="16"/>
                <w:szCs w:val="16"/>
              </w:rPr>
              <w:t>Monthly CLIMAT</w:t>
            </w:r>
          </w:p>
        </w:tc>
        <w:tc>
          <w:tcPr>
            <w:tcW w:w="2268" w:type="dxa"/>
          </w:tcPr>
          <w:p w:rsidR="00EE1BBC" w:rsidRPr="001F00C9" w:rsidRDefault="00EE1BBC" w:rsidP="00B108C1">
            <w:pPr>
              <w:jc w:val="center"/>
              <w:rPr>
                <w:rFonts w:cs="Arial"/>
              </w:rPr>
            </w:pPr>
            <w:r w:rsidRPr="001F00C9">
              <w:rPr>
                <w:rFonts w:cs="Arial"/>
                <w:b/>
                <w:sz w:val="18"/>
                <w:szCs w:val="18"/>
              </w:rPr>
              <w:t>0</w:t>
            </w:r>
            <w:r w:rsidRPr="001F00C9">
              <w:rPr>
                <w:rFonts w:cs="Arial"/>
              </w:rPr>
              <w:t xml:space="preserve"> </w:t>
            </w:r>
          </w:p>
          <w:p w:rsidR="00EE1BBC" w:rsidRPr="001F00C9" w:rsidRDefault="00EE1BBC" w:rsidP="00B108C1">
            <w:pPr>
              <w:jc w:val="center"/>
              <w:rPr>
                <w:rFonts w:cs="Arial"/>
                <w:sz w:val="14"/>
                <w:szCs w:val="14"/>
              </w:rPr>
            </w:pPr>
            <w:r w:rsidRPr="001F00C9">
              <w:rPr>
                <w:rFonts w:cs="Arial"/>
                <w:b/>
                <w:sz w:val="16"/>
                <w:szCs w:val="16"/>
              </w:rPr>
              <w:t>Monthly CLIMAT</w:t>
            </w:r>
          </w:p>
        </w:tc>
      </w:tr>
      <w:tr w:rsidR="00EE1BBC" w:rsidRPr="001F00C9" w:rsidTr="00B108C1">
        <w:trPr>
          <w:trHeight w:val="567"/>
        </w:trPr>
        <w:tc>
          <w:tcPr>
            <w:tcW w:w="735" w:type="dxa"/>
            <w:vAlign w:val="center"/>
          </w:tcPr>
          <w:p w:rsidR="00EE1BBC" w:rsidRPr="001F00C9" w:rsidRDefault="00EE1BBC" w:rsidP="00B108C1">
            <w:pPr>
              <w:rPr>
                <w:rFonts w:cs="Arial"/>
                <w:sz w:val="18"/>
                <w:szCs w:val="18"/>
              </w:rPr>
            </w:pPr>
            <w:r w:rsidRPr="001F00C9">
              <w:rPr>
                <w:rFonts w:cs="Arial"/>
                <w:sz w:val="18"/>
                <w:szCs w:val="18"/>
              </w:rPr>
              <w:t>RA-I</w:t>
            </w:r>
          </w:p>
        </w:tc>
        <w:tc>
          <w:tcPr>
            <w:tcW w:w="567" w:type="dxa"/>
            <w:vAlign w:val="center"/>
          </w:tcPr>
          <w:p w:rsidR="00EE1BBC" w:rsidRPr="001F00C9" w:rsidRDefault="00EE1BBC" w:rsidP="00B108C1">
            <w:pPr>
              <w:rPr>
                <w:rFonts w:cs="Arial"/>
                <w:sz w:val="16"/>
                <w:szCs w:val="16"/>
              </w:rPr>
            </w:pPr>
            <w:r w:rsidRPr="001F00C9">
              <w:rPr>
                <w:rFonts w:cs="Arial"/>
                <w:sz w:val="16"/>
                <w:szCs w:val="16"/>
              </w:rPr>
              <w:t>723</w:t>
            </w:r>
          </w:p>
        </w:tc>
        <w:tc>
          <w:tcPr>
            <w:tcW w:w="2268" w:type="dxa"/>
            <w:tcBorders>
              <w:righ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18%</w:t>
            </w:r>
            <w:r w:rsidRPr="001F00C9">
              <w:rPr>
                <w:rFonts w:cs="Arial"/>
                <w:sz w:val="16"/>
                <w:szCs w:val="16"/>
              </w:rPr>
              <w:t xml:space="preserve"> </w:t>
            </w:r>
            <w:r w:rsidRPr="001F00C9">
              <w:rPr>
                <w:rFonts w:cs="Arial"/>
                <w:sz w:val="14"/>
                <w:szCs w:val="14"/>
              </w:rPr>
              <w:t>(23,16,17,19,13,12)</w:t>
            </w:r>
          </w:p>
        </w:tc>
        <w:tc>
          <w:tcPr>
            <w:tcW w:w="2268" w:type="dxa"/>
            <w:tcBorders>
              <w:lef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22%</w:t>
            </w:r>
            <w:r w:rsidRPr="001F00C9">
              <w:rPr>
                <w:rFonts w:cs="Arial"/>
                <w:sz w:val="14"/>
                <w:szCs w:val="14"/>
              </w:rPr>
              <w:t xml:space="preserve"> (17,22,20,20,23,22)</w:t>
            </w:r>
          </w:p>
        </w:tc>
        <w:tc>
          <w:tcPr>
            <w:tcW w:w="2126" w:type="dxa"/>
            <w:vAlign w:val="center"/>
          </w:tcPr>
          <w:p w:rsidR="00EE1BBC" w:rsidRPr="001F00C9" w:rsidRDefault="00EE1BBC" w:rsidP="00B108C1">
            <w:pPr>
              <w:rPr>
                <w:rFonts w:cs="Arial"/>
                <w:sz w:val="14"/>
                <w:szCs w:val="14"/>
              </w:rPr>
            </w:pPr>
            <w:r w:rsidRPr="001F00C9">
              <w:rPr>
                <w:rFonts w:cs="Arial"/>
                <w:b/>
                <w:sz w:val="16"/>
                <w:szCs w:val="16"/>
              </w:rPr>
              <w:t>6%</w:t>
            </w:r>
            <w:r w:rsidRPr="001F00C9">
              <w:rPr>
                <w:rFonts w:cs="Arial"/>
                <w:sz w:val="14"/>
                <w:szCs w:val="14"/>
              </w:rPr>
              <w:t xml:space="preserve"> (8, 11, 8, 7,12,13)</w:t>
            </w:r>
          </w:p>
        </w:tc>
        <w:tc>
          <w:tcPr>
            <w:tcW w:w="2268" w:type="dxa"/>
            <w:vAlign w:val="center"/>
          </w:tcPr>
          <w:p w:rsidR="00EE1BBC" w:rsidRPr="001F00C9" w:rsidRDefault="00EE1BBC" w:rsidP="00B108C1">
            <w:pPr>
              <w:rPr>
                <w:rFonts w:cs="Arial"/>
                <w:sz w:val="14"/>
                <w:szCs w:val="14"/>
              </w:rPr>
            </w:pPr>
            <w:r w:rsidRPr="001F00C9">
              <w:rPr>
                <w:rFonts w:cs="Arial"/>
                <w:b/>
                <w:sz w:val="16"/>
                <w:szCs w:val="16"/>
              </w:rPr>
              <w:t>54%</w:t>
            </w:r>
            <w:r w:rsidRPr="001F00C9">
              <w:rPr>
                <w:rFonts w:cs="Arial"/>
                <w:sz w:val="14"/>
                <w:szCs w:val="14"/>
              </w:rPr>
              <w:t xml:space="preserve"> (52,51,55,54,52,53)</w:t>
            </w:r>
          </w:p>
        </w:tc>
      </w:tr>
      <w:tr w:rsidR="00EE1BBC" w:rsidRPr="001F00C9" w:rsidTr="00B108C1">
        <w:trPr>
          <w:trHeight w:val="567"/>
        </w:trPr>
        <w:tc>
          <w:tcPr>
            <w:tcW w:w="735" w:type="dxa"/>
            <w:vAlign w:val="center"/>
          </w:tcPr>
          <w:p w:rsidR="00EE1BBC" w:rsidRPr="001F00C9" w:rsidRDefault="00EE1BBC" w:rsidP="00B108C1">
            <w:pPr>
              <w:rPr>
                <w:rFonts w:cs="Arial"/>
                <w:sz w:val="18"/>
                <w:szCs w:val="18"/>
              </w:rPr>
            </w:pPr>
            <w:r w:rsidRPr="001F00C9">
              <w:rPr>
                <w:rFonts w:cs="Arial"/>
                <w:sz w:val="18"/>
                <w:szCs w:val="18"/>
              </w:rPr>
              <w:t>RA-II</w:t>
            </w:r>
          </w:p>
        </w:tc>
        <w:tc>
          <w:tcPr>
            <w:tcW w:w="567" w:type="dxa"/>
            <w:vAlign w:val="center"/>
          </w:tcPr>
          <w:p w:rsidR="00EE1BBC" w:rsidRPr="001F00C9" w:rsidRDefault="00EE1BBC" w:rsidP="00B108C1">
            <w:pPr>
              <w:rPr>
                <w:rFonts w:cs="Arial"/>
                <w:sz w:val="16"/>
                <w:szCs w:val="16"/>
              </w:rPr>
            </w:pPr>
            <w:r w:rsidRPr="001F00C9">
              <w:rPr>
                <w:rFonts w:cs="Arial"/>
                <w:sz w:val="16"/>
                <w:szCs w:val="16"/>
              </w:rPr>
              <w:t>664</w:t>
            </w:r>
          </w:p>
        </w:tc>
        <w:tc>
          <w:tcPr>
            <w:tcW w:w="2268" w:type="dxa"/>
            <w:tcBorders>
              <w:righ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78%</w:t>
            </w:r>
            <w:r w:rsidRPr="001F00C9">
              <w:rPr>
                <w:rFonts w:cs="Arial"/>
                <w:sz w:val="14"/>
                <w:szCs w:val="14"/>
              </w:rPr>
              <w:t xml:space="preserve"> (80,73,71,73,67,57)</w:t>
            </w:r>
          </w:p>
        </w:tc>
        <w:tc>
          <w:tcPr>
            <w:tcW w:w="2268" w:type="dxa"/>
            <w:tcBorders>
              <w:lef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14%</w:t>
            </w:r>
            <w:r w:rsidRPr="001F00C9">
              <w:rPr>
                <w:rFonts w:cs="Arial"/>
                <w:sz w:val="14"/>
                <w:szCs w:val="14"/>
              </w:rPr>
              <w:t xml:space="preserve"> (12,17,18,15,22,30)</w:t>
            </w:r>
          </w:p>
        </w:tc>
        <w:tc>
          <w:tcPr>
            <w:tcW w:w="2126" w:type="dxa"/>
            <w:vAlign w:val="center"/>
          </w:tcPr>
          <w:p w:rsidR="00EE1BBC" w:rsidRPr="001F00C9" w:rsidRDefault="00EE1BBC" w:rsidP="00B108C1">
            <w:pPr>
              <w:rPr>
                <w:rFonts w:cs="Arial"/>
                <w:sz w:val="14"/>
                <w:szCs w:val="14"/>
              </w:rPr>
            </w:pPr>
            <w:r w:rsidRPr="001F00C9">
              <w:rPr>
                <w:rFonts w:cs="Arial"/>
                <w:b/>
                <w:sz w:val="16"/>
                <w:szCs w:val="16"/>
              </w:rPr>
              <w:t>1%</w:t>
            </w:r>
            <w:r w:rsidRPr="001F00C9">
              <w:rPr>
                <w:rFonts w:cs="Arial"/>
                <w:sz w:val="14"/>
                <w:szCs w:val="14"/>
              </w:rPr>
              <w:t xml:space="preserve"> (1, 2, 4, 4, 1, 2)</w:t>
            </w:r>
          </w:p>
        </w:tc>
        <w:tc>
          <w:tcPr>
            <w:tcW w:w="2268" w:type="dxa"/>
            <w:vAlign w:val="center"/>
          </w:tcPr>
          <w:p w:rsidR="00EE1BBC" w:rsidRPr="001F00C9" w:rsidRDefault="00EE1BBC" w:rsidP="00B108C1">
            <w:pPr>
              <w:rPr>
                <w:rFonts w:cs="Arial"/>
                <w:sz w:val="14"/>
                <w:szCs w:val="14"/>
              </w:rPr>
            </w:pPr>
            <w:r w:rsidRPr="001F00C9">
              <w:rPr>
                <w:rFonts w:cs="Arial"/>
                <w:b/>
                <w:sz w:val="16"/>
                <w:szCs w:val="16"/>
              </w:rPr>
              <w:t>7%</w:t>
            </w:r>
            <w:r w:rsidRPr="001F00C9">
              <w:rPr>
                <w:rFonts w:cs="Arial"/>
                <w:sz w:val="14"/>
                <w:szCs w:val="14"/>
              </w:rPr>
              <w:t xml:space="preserve"> (8, 8, 7, 8, 10, 11)</w:t>
            </w:r>
          </w:p>
        </w:tc>
      </w:tr>
      <w:tr w:rsidR="00EE1BBC" w:rsidRPr="001F00C9" w:rsidTr="00B108C1">
        <w:trPr>
          <w:trHeight w:val="567"/>
        </w:trPr>
        <w:tc>
          <w:tcPr>
            <w:tcW w:w="735" w:type="dxa"/>
            <w:vAlign w:val="center"/>
          </w:tcPr>
          <w:p w:rsidR="00EE1BBC" w:rsidRPr="001F00C9" w:rsidRDefault="00EE1BBC" w:rsidP="00B108C1">
            <w:pPr>
              <w:rPr>
                <w:rFonts w:cs="Arial"/>
                <w:sz w:val="18"/>
                <w:szCs w:val="18"/>
              </w:rPr>
            </w:pPr>
            <w:r w:rsidRPr="001F00C9">
              <w:rPr>
                <w:rFonts w:cs="Arial"/>
                <w:sz w:val="18"/>
                <w:szCs w:val="18"/>
              </w:rPr>
              <w:t>RA-III</w:t>
            </w:r>
          </w:p>
        </w:tc>
        <w:tc>
          <w:tcPr>
            <w:tcW w:w="567" w:type="dxa"/>
            <w:vAlign w:val="center"/>
          </w:tcPr>
          <w:p w:rsidR="00EE1BBC" w:rsidRPr="001F00C9" w:rsidRDefault="00EE1BBC" w:rsidP="00B108C1">
            <w:pPr>
              <w:rPr>
                <w:rFonts w:cs="Arial"/>
                <w:sz w:val="16"/>
                <w:szCs w:val="16"/>
              </w:rPr>
            </w:pPr>
            <w:r w:rsidRPr="001F00C9">
              <w:rPr>
                <w:rFonts w:cs="Arial"/>
                <w:sz w:val="16"/>
                <w:szCs w:val="16"/>
              </w:rPr>
              <w:t>298</w:t>
            </w:r>
          </w:p>
        </w:tc>
        <w:tc>
          <w:tcPr>
            <w:tcW w:w="2268" w:type="dxa"/>
            <w:tcBorders>
              <w:righ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59%</w:t>
            </w:r>
            <w:r w:rsidRPr="001F00C9">
              <w:rPr>
                <w:rFonts w:cs="Arial"/>
                <w:sz w:val="14"/>
                <w:szCs w:val="14"/>
              </w:rPr>
              <w:t xml:space="preserve"> (64,63,73,81,73,65)</w:t>
            </w:r>
          </w:p>
        </w:tc>
        <w:tc>
          <w:tcPr>
            <w:tcW w:w="2268" w:type="dxa"/>
            <w:tcBorders>
              <w:lef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14%</w:t>
            </w:r>
            <w:r w:rsidRPr="001F00C9">
              <w:rPr>
                <w:rFonts w:cs="Arial"/>
                <w:sz w:val="14"/>
                <w:szCs w:val="14"/>
              </w:rPr>
              <w:t xml:space="preserve"> (22,25,14, 6,15,23)</w:t>
            </w:r>
          </w:p>
        </w:tc>
        <w:tc>
          <w:tcPr>
            <w:tcW w:w="2126" w:type="dxa"/>
            <w:vAlign w:val="center"/>
          </w:tcPr>
          <w:p w:rsidR="00EE1BBC" w:rsidRPr="001F00C9" w:rsidRDefault="00EE1BBC" w:rsidP="00B108C1">
            <w:pPr>
              <w:rPr>
                <w:rFonts w:cs="Arial"/>
                <w:sz w:val="14"/>
                <w:szCs w:val="14"/>
              </w:rPr>
            </w:pPr>
            <w:r w:rsidRPr="001F00C9">
              <w:rPr>
                <w:rFonts w:cs="Arial"/>
                <w:b/>
                <w:sz w:val="16"/>
                <w:szCs w:val="16"/>
              </w:rPr>
              <w:t>12%</w:t>
            </w:r>
            <w:r w:rsidRPr="001F00C9">
              <w:rPr>
                <w:rFonts w:cs="Arial"/>
                <w:sz w:val="14"/>
                <w:szCs w:val="14"/>
              </w:rPr>
              <w:t xml:space="preserve"> (1, 0, 1, 1, 1, 0)</w:t>
            </w:r>
          </w:p>
        </w:tc>
        <w:tc>
          <w:tcPr>
            <w:tcW w:w="2268" w:type="dxa"/>
            <w:vAlign w:val="center"/>
          </w:tcPr>
          <w:p w:rsidR="00EE1BBC" w:rsidRPr="001F00C9" w:rsidRDefault="00EE1BBC" w:rsidP="00B108C1">
            <w:pPr>
              <w:rPr>
                <w:rFonts w:cs="Arial"/>
                <w:sz w:val="14"/>
                <w:szCs w:val="14"/>
              </w:rPr>
            </w:pPr>
            <w:r w:rsidRPr="001F00C9">
              <w:rPr>
                <w:rFonts w:cs="Arial"/>
                <w:b/>
                <w:sz w:val="16"/>
                <w:szCs w:val="16"/>
              </w:rPr>
              <w:t>15%</w:t>
            </w:r>
            <w:r w:rsidRPr="001F00C9">
              <w:rPr>
                <w:rFonts w:cs="Arial"/>
                <w:sz w:val="14"/>
                <w:szCs w:val="14"/>
              </w:rPr>
              <w:t xml:space="preserve"> (13,12,12,12,11,12)</w:t>
            </w:r>
          </w:p>
        </w:tc>
      </w:tr>
      <w:tr w:rsidR="00EE1BBC" w:rsidRPr="001F00C9" w:rsidTr="00B108C1">
        <w:trPr>
          <w:trHeight w:val="567"/>
        </w:trPr>
        <w:tc>
          <w:tcPr>
            <w:tcW w:w="735" w:type="dxa"/>
            <w:vAlign w:val="center"/>
          </w:tcPr>
          <w:p w:rsidR="00EE1BBC" w:rsidRPr="001F00C9" w:rsidRDefault="00EE1BBC" w:rsidP="00B108C1">
            <w:pPr>
              <w:rPr>
                <w:rFonts w:cs="Arial"/>
                <w:sz w:val="18"/>
                <w:szCs w:val="18"/>
              </w:rPr>
            </w:pPr>
            <w:r w:rsidRPr="001F00C9">
              <w:rPr>
                <w:rFonts w:cs="Arial"/>
                <w:sz w:val="18"/>
                <w:szCs w:val="18"/>
              </w:rPr>
              <w:t>RA-IV</w:t>
            </w:r>
          </w:p>
        </w:tc>
        <w:tc>
          <w:tcPr>
            <w:tcW w:w="567" w:type="dxa"/>
            <w:vAlign w:val="center"/>
          </w:tcPr>
          <w:p w:rsidR="00EE1BBC" w:rsidRPr="001F00C9" w:rsidRDefault="00EE1BBC" w:rsidP="00B108C1">
            <w:pPr>
              <w:rPr>
                <w:rFonts w:cs="Arial"/>
                <w:sz w:val="16"/>
                <w:szCs w:val="16"/>
              </w:rPr>
            </w:pPr>
            <w:r w:rsidRPr="001F00C9">
              <w:rPr>
                <w:rFonts w:cs="Arial"/>
                <w:sz w:val="16"/>
                <w:szCs w:val="16"/>
              </w:rPr>
              <w:t>337</w:t>
            </w:r>
          </w:p>
        </w:tc>
        <w:tc>
          <w:tcPr>
            <w:tcW w:w="2268" w:type="dxa"/>
            <w:tcBorders>
              <w:righ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80%</w:t>
            </w:r>
            <w:r w:rsidRPr="001F00C9">
              <w:rPr>
                <w:rFonts w:cs="Arial"/>
                <w:sz w:val="14"/>
                <w:szCs w:val="14"/>
              </w:rPr>
              <w:t xml:space="preserve"> (80,78,78,72,67,66)</w:t>
            </w:r>
          </w:p>
        </w:tc>
        <w:tc>
          <w:tcPr>
            <w:tcW w:w="2268" w:type="dxa"/>
            <w:tcBorders>
              <w:lef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8%</w:t>
            </w:r>
            <w:r w:rsidRPr="001F00C9">
              <w:rPr>
                <w:rFonts w:cs="Arial"/>
                <w:sz w:val="14"/>
                <w:szCs w:val="14"/>
              </w:rPr>
              <w:t xml:space="preserve"> (8, 10, 11, 18, 18, 18)</w:t>
            </w:r>
          </w:p>
        </w:tc>
        <w:tc>
          <w:tcPr>
            <w:tcW w:w="2126" w:type="dxa"/>
            <w:vAlign w:val="center"/>
          </w:tcPr>
          <w:p w:rsidR="00EE1BBC" w:rsidRPr="001F00C9" w:rsidRDefault="00EE1BBC" w:rsidP="00B108C1">
            <w:pPr>
              <w:rPr>
                <w:rFonts w:cs="Arial"/>
                <w:sz w:val="14"/>
                <w:szCs w:val="14"/>
              </w:rPr>
            </w:pPr>
            <w:r w:rsidRPr="001F00C9">
              <w:rPr>
                <w:rFonts w:cs="Arial"/>
                <w:b/>
                <w:sz w:val="16"/>
                <w:szCs w:val="16"/>
              </w:rPr>
              <w:t>3%</w:t>
            </w:r>
            <w:r w:rsidRPr="001F00C9">
              <w:rPr>
                <w:rFonts w:cs="Arial"/>
                <w:sz w:val="14"/>
                <w:szCs w:val="14"/>
              </w:rPr>
              <w:t xml:space="preserve"> (2, 3, 3, 2, 2, 3)</w:t>
            </w:r>
          </w:p>
        </w:tc>
        <w:tc>
          <w:tcPr>
            <w:tcW w:w="2268" w:type="dxa"/>
            <w:vAlign w:val="center"/>
          </w:tcPr>
          <w:p w:rsidR="00EE1BBC" w:rsidRPr="001F00C9" w:rsidRDefault="00EE1BBC" w:rsidP="00B108C1">
            <w:pPr>
              <w:rPr>
                <w:rFonts w:cs="Arial"/>
                <w:sz w:val="14"/>
                <w:szCs w:val="14"/>
              </w:rPr>
            </w:pPr>
            <w:r w:rsidRPr="001F00C9">
              <w:rPr>
                <w:rFonts w:cs="Arial"/>
                <w:b/>
                <w:sz w:val="16"/>
                <w:szCs w:val="16"/>
              </w:rPr>
              <w:t>9%</w:t>
            </w:r>
            <w:r w:rsidRPr="001F00C9">
              <w:rPr>
                <w:rFonts w:cs="Arial"/>
                <w:sz w:val="14"/>
                <w:szCs w:val="14"/>
              </w:rPr>
              <w:t xml:space="preserve"> (10, 9, 8, 8, 13, 13)</w:t>
            </w:r>
          </w:p>
        </w:tc>
      </w:tr>
      <w:tr w:rsidR="00EE1BBC" w:rsidRPr="001F00C9" w:rsidTr="00B108C1">
        <w:trPr>
          <w:trHeight w:val="567"/>
        </w:trPr>
        <w:tc>
          <w:tcPr>
            <w:tcW w:w="735" w:type="dxa"/>
            <w:vAlign w:val="center"/>
          </w:tcPr>
          <w:p w:rsidR="00EE1BBC" w:rsidRPr="001F00C9" w:rsidRDefault="00EE1BBC" w:rsidP="00B108C1">
            <w:pPr>
              <w:rPr>
                <w:rFonts w:cs="Arial"/>
                <w:sz w:val="18"/>
                <w:szCs w:val="18"/>
              </w:rPr>
            </w:pPr>
            <w:r w:rsidRPr="001F00C9">
              <w:rPr>
                <w:rFonts w:cs="Arial"/>
                <w:sz w:val="18"/>
                <w:szCs w:val="18"/>
              </w:rPr>
              <w:t>RA-V</w:t>
            </w:r>
          </w:p>
        </w:tc>
        <w:tc>
          <w:tcPr>
            <w:tcW w:w="567" w:type="dxa"/>
            <w:vAlign w:val="center"/>
          </w:tcPr>
          <w:p w:rsidR="00EE1BBC" w:rsidRPr="001F00C9" w:rsidRDefault="00EE1BBC" w:rsidP="00B108C1">
            <w:pPr>
              <w:rPr>
                <w:rFonts w:cs="Arial"/>
                <w:sz w:val="16"/>
                <w:szCs w:val="16"/>
              </w:rPr>
            </w:pPr>
            <w:r w:rsidRPr="001F00C9">
              <w:rPr>
                <w:rFonts w:cs="Arial"/>
                <w:sz w:val="16"/>
                <w:szCs w:val="16"/>
              </w:rPr>
              <w:t>247</w:t>
            </w:r>
          </w:p>
        </w:tc>
        <w:tc>
          <w:tcPr>
            <w:tcW w:w="2268" w:type="dxa"/>
            <w:tcBorders>
              <w:righ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60%</w:t>
            </w:r>
            <w:r w:rsidRPr="001F00C9">
              <w:rPr>
                <w:rFonts w:cs="Arial"/>
                <w:sz w:val="14"/>
                <w:szCs w:val="14"/>
              </w:rPr>
              <w:t xml:space="preserve"> (64,63,64,59,56,50)</w:t>
            </w:r>
          </w:p>
        </w:tc>
        <w:tc>
          <w:tcPr>
            <w:tcW w:w="2268" w:type="dxa"/>
            <w:tcBorders>
              <w:lef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21%</w:t>
            </w:r>
            <w:r w:rsidRPr="001F00C9">
              <w:rPr>
                <w:rFonts w:cs="Arial"/>
                <w:sz w:val="14"/>
                <w:szCs w:val="14"/>
              </w:rPr>
              <w:t xml:space="preserve"> (16,18,21,17,24,34)</w:t>
            </w:r>
          </w:p>
        </w:tc>
        <w:tc>
          <w:tcPr>
            <w:tcW w:w="2126" w:type="dxa"/>
            <w:vAlign w:val="center"/>
          </w:tcPr>
          <w:p w:rsidR="00EE1BBC" w:rsidRPr="001F00C9" w:rsidRDefault="00EE1BBC" w:rsidP="00B108C1">
            <w:pPr>
              <w:rPr>
                <w:rFonts w:cs="Arial"/>
                <w:sz w:val="14"/>
                <w:szCs w:val="14"/>
              </w:rPr>
            </w:pPr>
            <w:r w:rsidRPr="001F00C9">
              <w:rPr>
                <w:rFonts w:cs="Arial"/>
                <w:b/>
                <w:sz w:val="16"/>
                <w:szCs w:val="16"/>
              </w:rPr>
              <w:t>2%</w:t>
            </w:r>
            <w:r w:rsidRPr="001F00C9">
              <w:rPr>
                <w:rFonts w:cs="Arial"/>
                <w:sz w:val="14"/>
                <w:szCs w:val="14"/>
              </w:rPr>
              <w:t xml:space="preserve"> (4, 4, 1, 9, 6, 3)</w:t>
            </w:r>
          </w:p>
        </w:tc>
        <w:tc>
          <w:tcPr>
            <w:tcW w:w="2268" w:type="dxa"/>
            <w:vAlign w:val="center"/>
          </w:tcPr>
          <w:p w:rsidR="00EE1BBC" w:rsidRPr="001F00C9" w:rsidRDefault="00EE1BBC" w:rsidP="00B108C1">
            <w:pPr>
              <w:rPr>
                <w:rFonts w:cs="Arial"/>
                <w:sz w:val="14"/>
                <w:szCs w:val="14"/>
              </w:rPr>
            </w:pPr>
            <w:r w:rsidRPr="001F00C9">
              <w:rPr>
                <w:rFonts w:cs="Arial"/>
                <w:b/>
                <w:sz w:val="16"/>
                <w:szCs w:val="16"/>
              </w:rPr>
              <w:t>17%</w:t>
            </w:r>
            <w:r w:rsidRPr="001F00C9">
              <w:rPr>
                <w:rFonts w:cs="Arial"/>
                <w:sz w:val="14"/>
                <w:szCs w:val="14"/>
              </w:rPr>
              <w:t xml:space="preserve"> (16,15,14,15,14,13)</w:t>
            </w:r>
          </w:p>
        </w:tc>
      </w:tr>
      <w:tr w:rsidR="00EE1BBC" w:rsidRPr="001F00C9" w:rsidTr="00B108C1">
        <w:trPr>
          <w:trHeight w:val="567"/>
        </w:trPr>
        <w:tc>
          <w:tcPr>
            <w:tcW w:w="735" w:type="dxa"/>
            <w:vAlign w:val="center"/>
          </w:tcPr>
          <w:p w:rsidR="00EE1BBC" w:rsidRPr="001F00C9" w:rsidRDefault="00EE1BBC" w:rsidP="00B108C1">
            <w:pPr>
              <w:rPr>
                <w:rFonts w:cs="Arial"/>
                <w:sz w:val="18"/>
                <w:szCs w:val="18"/>
              </w:rPr>
            </w:pPr>
            <w:r w:rsidRPr="001F00C9">
              <w:rPr>
                <w:rFonts w:cs="Arial"/>
                <w:sz w:val="18"/>
                <w:szCs w:val="18"/>
              </w:rPr>
              <w:t>RA-VI</w:t>
            </w:r>
          </w:p>
        </w:tc>
        <w:tc>
          <w:tcPr>
            <w:tcW w:w="567" w:type="dxa"/>
            <w:vAlign w:val="center"/>
          </w:tcPr>
          <w:p w:rsidR="00EE1BBC" w:rsidRPr="001F00C9" w:rsidRDefault="00EE1BBC" w:rsidP="00B108C1">
            <w:pPr>
              <w:rPr>
                <w:rFonts w:cs="Arial"/>
                <w:sz w:val="16"/>
                <w:szCs w:val="16"/>
              </w:rPr>
            </w:pPr>
            <w:r w:rsidRPr="001F00C9">
              <w:rPr>
                <w:rFonts w:cs="Arial"/>
                <w:sz w:val="16"/>
                <w:szCs w:val="16"/>
              </w:rPr>
              <w:t>594</w:t>
            </w:r>
          </w:p>
        </w:tc>
        <w:tc>
          <w:tcPr>
            <w:tcW w:w="2268" w:type="dxa"/>
            <w:tcBorders>
              <w:righ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85%</w:t>
            </w:r>
            <w:r w:rsidRPr="001F00C9">
              <w:rPr>
                <w:rFonts w:cs="Arial"/>
                <w:sz w:val="14"/>
                <w:szCs w:val="14"/>
              </w:rPr>
              <w:t xml:space="preserve"> (85,79,81,77,77,74)</w:t>
            </w:r>
          </w:p>
        </w:tc>
        <w:tc>
          <w:tcPr>
            <w:tcW w:w="2268" w:type="dxa"/>
            <w:tcBorders>
              <w:left w:val="single" w:sz="12" w:space="0" w:color="auto"/>
            </w:tcBorders>
            <w:vAlign w:val="center"/>
          </w:tcPr>
          <w:p w:rsidR="00EE1BBC" w:rsidRPr="001F00C9" w:rsidRDefault="00EE1BBC" w:rsidP="00B108C1">
            <w:pPr>
              <w:rPr>
                <w:rFonts w:cs="Arial"/>
                <w:sz w:val="14"/>
                <w:szCs w:val="14"/>
              </w:rPr>
            </w:pPr>
            <w:r w:rsidRPr="001F00C9">
              <w:rPr>
                <w:rFonts w:cs="Arial"/>
                <w:b/>
                <w:sz w:val="16"/>
                <w:szCs w:val="16"/>
              </w:rPr>
              <w:t>5%</w:t>
            </w:r>
            <w:r w:rsidRPr="001F00C9">
              <w:rPr>
                <w:rFonts w:cs="Arial"/>
                <w:sz w:val="14"/>
                <w:szCs w:val="14"/>
              </w:rPr>
              <w:t xml:space="preserve"> (5, 12, 8, 13, 15, 18)</w:t>
            </w:r>
          </w:p>
        </w:tc>
        <w:tc>
          <w:tcPr>
            <w:tcW w:w="2126" w:type="dxa"/>
            <w:vAlign w:val="center"/>
          </w:tcPr>
          <w:p w:rsidR="00EE1BBC" w:rsidRPr="001F00C9" w:rsidRDefault="00EE1BBC" w:rsidP="00B108C1">
            <w:pPr>
              <w:rPr>
                <w:rFonts w:cs="Arial"/>
                <w:sz w:val="14"/>
                <w:szCs w:val="14"/>
              </w:rPr>
            </w:pPr>
            <w:r w:rsidRPr="001F00C9">
              <w:rPr>
                <w:rFonts w:cs="Arial"/>
                <w:b/>
                <w:sz w:val="16"/>
                <w:szCs w:val="16"/>
              </w:rPr>
              <w:t>1%</w:t>
            </w:r>
            <w:r w:rsidRPr="001F00C9">
              <w:rPr>
                <w:rFonts w:cs="Arial"/>
                <w:sz w:val="14"/>
                <w:szCs w:val="14"/>
              </w:rPr>
              <w:t xml:space="preserve"> (1, 1, 3, 3, 1, 1)</w:t>
            </w:r>
          </w:p>
        </w:tc>
        <w:tc>
          <w:tcPr>
            <w:tcW w:w="2268" w:type="dxa"/>
            <w:vAlign w:val="center"/>
          </w:tcPr>
          <w:p w:rsidR="00EE1BBC" w:rsidRPr="001F00C9" w:rsidRDefault="00EE1BBC" w:rsidP="00B108C1">
            <w:pPr>
              <w:rPr>
                <w:rFonts w:cs="Arial"/>
                <w:sz w:val="14"/>
                <w:szCs w:val="14"/>
              </w:rPr>
            </w:pPr>
            <w:r w:rsidRPr="001F00C9">
              <w:rPr>
                <w:rFonts w:cs="Arial"/>
                <w:b/>
                <w:sz w:val="16"/>
                <w:szCs w:val="16"/>
              </w:rPr>
              <w:t>9%</w:t>
            </w:r>
            <w:r w:rsidRPr="001F00C9">
              <w:rPr>
                <w:rFonts w:cs="Arial"/>
                <w:sz w:val="14"/>
                <w:szCs w:val="14"/>
              </w:rPr>
              <w:t xml:space="preserve"> (9, 7, 7, 7, 7, 7)</w:t>
            </w:r>
          </w:p>
        </w:tc>
      </w:tr>
    </w:tbl>
    <w:p w:rsidR="00EE1BBC" w:rsidRPr="001F00C9" w:rsidRDefault="00EE1BBC" w:rsidP="00EE1BBC">
      <w:pPr>
        <w:rPr>
          <w:rFonts w:cs="Arial"/>
        </w:rPr>
      </w:pPr>
    </w:p>
    <w:p w:rsidR="00EE1BBC" w:rsidRPr="001F00C9" w:rsidRDefault="00EE1BBC" w:rsidP="00EE1BBC">
      <w:pPr>
        <w:pStyle w:val="ListParagraph"/>
        <w:ind w:left="1134"/>
        <w:rPr>
          <w:sz w:val="20"/>
        </w:rPr>
      </w:pPr>
      <w:r w:rsidRPr="001F00C9">
        <w:rPr>
          <w:sz w:val="20"/>
        </w:rPr>
        <w:tab/>
      </w:r>
      <w:r w:rsidRPr="001F00C9">
        <w:rPr>
          <w:sz w:val="20"/>
        </w:rPr>
        <w:tab/>
      </w:r>
    </w:p>
    <w:p w:rsidR="00EE1BBC" w:rsidRPr="001F00C9" w:rsidRDefault="00EE1BBC" w:rsidP="00EE1BBC">
      <w:pPr>
        <w:pStyle w:val="ListParagraph"/>
        <w:spacing w:line="240" w:lineRule="auto"/>
        <w:ind w:left="0"/>
        <w:jc w:val="both"/>
        <w:rPr>
          <w:rFonts w:eastAsia="Arial"/>
        </w:rPr>
      </w:pPr>
      <w:r w:rsidRPr="001F00C9">
        <w:rPr>
          <w:rFonts w:eastAsia="Arial"/>
        </w:rPr>
        <w:t xml:space="preserve">RA-I is the poorest performing region, with only 36% of stations meeting the minimum requirement, and 30% not providing any CLIMAT messages, this has not significantly changed, neither better or worse, over the last 7 years. Thus whilst this continues to reinforce the need for GCOS to focus its support in this region, it also highlights that recent efforts to improve these statistics have had little impact. The drop in RA-III statistics of fully compliant stations was due to CLLIMAT messages from Peru not being reported.  </w:t>
      </w:r>
    </w:p>
    <w:p w:rsidR="00EE1BBC" w:rsidRPr="001F00C9" w:rsidRDefault="00EE1BBC" w:rsidP="00EE1BBC">
      <w:pPr>
        <w:pStyle w:val="ListParagraph"/>
        <w:spacing w:line="240" w:lineRule="auto"/>
        <w:ind w:left="0"/>
        <w:rPr>
          <w:rFonts w:eastAsia="Arial"/>
          <w:sz w:val="20"/>
          <w:szCs w:val="20"/>
        </w:rPr>
      </w:pPr>
    </w:p>
    <w:p w:rsidR="00EE1BBC" w:rsidRPr="001F00C9" w:rsidRDefault="00EE1BBC" w:rsidP="00EE1BBC">
      <w:pPr>
        <w:pStyle w:val="WMOBodyText"/>
        <w:jc w:val="both"/>
        <w:rPr>
          <w:rFonts w:ascii="Arial" w:hAnsi="Arial" w:cs="Arial"/>
          <w:sz w:val="22"/>
          <w:szCs w:val="22"/>
        </w:rPr>
      </w:pPr>
      <w:r w:rsidRPr="001F00C9">
        <w:rPr>
          <w:rFonts w:ascii="Arial" w:eastAsia="Arial" w:hAnsi="Arial" w:cs="Arial"/>
          <w:sz w:val="22"/>
          <w:szCs w:val="22"/>
        </w:rPr>
        <w:lastRenderedPageBreak/>
        <w:t>For the RBCN network, which includes the GSN, the situation is even worse in RA-I with only 18% of stations meeting the minimum requirement. Regions I, III, IV and V show a significant increase in the percentage of stations with zero reports (RBCN versus GSN), suggesting that not all countries are sending CLIMAT messages for their RBCN stations, in addition to the GSN stations.</w:t>
      </w:r>
      <w:r w:rsidRPr="001F00C9">
        <w:rPr>
          <w:rFonts w:ascii="Arial" w:hAnsi="Arial" w:cs="Arial"/>
          <w:sz w:val="22"/>
          <w:szCs w:val="22"/>
        </w:rPr>
        <w:t xml:space="preserve"> </w:t>
      </w:r>
    </w:p>
    <w:p w:rsidR="00EE1BBC" w:rsidRPr="001F00C9" w:rsidRDefault="001F00C9" w:rsidP="00EE1BBC">
      <w:pPr>
        <w:pStyle w:val="WMOSubTitle1"/>
        <w:rPr>
          <w:rFonts w:ascii="Arial" w:hAnsi="Arial" w:cs="Arial"/>
          <w:i w:val="0"/>
          <w:sz w:val="24"/>
          <w:szCs w:val="24"/>
        </w:rPr>
      </w:pPr>
      <w:r>
        <w:rPr>
          <w:rFonts w:ascii="Arial" w:hAnsi="Arial" w:cs="Arial"/>
          <w:i w:val="0"/>
          <w:sz w:val="24"/>
          <w:szCs w:val="24"/>
        </w:rPr>
        <w:t xml:space="preserve">1.3 </w:t>
      </w:r>
      <w:r w:rsidR="00EE1BBC" w:rsidRPr="001F00C9">
        <w:rPr>
          <w:rFonts w:ascii="Arial" w:hAnsi="Arial" w:cs="Arial"/>
          <w:i w:val="0"/>
          <w:sz w:val="24"/>
          <w:szCs w:val="24"/>
        </w:rPr>
        <w:t xml:space="preserve">Performance Report of the GUAN </w:t>
      </w:r>
    </w:p>
    <w:p w:rsidR="00EE1BBC" w:rsidRPr="001F00C9" w:rsidRDefault="00EE1BBC" w:rsidP="00EE1BBC">
      <w:pPr>
        <w:rPr>
          <w:rFonts w:cs="Arial"/>
        </w:rPr>
      </w:pPr>
    </w:p>
    <w:p w:rsidR="00EE1BBC" w:rsidRPr="001F00C9" w:rsidRDefault="00EE1BBC" w:rsidP="00EE1BBC">
      <w:pPr>
        <w:jc w:val="both"/>
        <w:rPr>
          <w:rFonts w:cs="Arial"/>
          <w:szCs w:val="22"/>
        </w:rPr>
      </w:pPr>
      <w:r w:rsidRPr="001F00C9">
        <w:rPr>
          <w:rFonts w:cs="Arial"/>
          <w:szCs w:val="22"/>
        </w:rPr>
        <w:t>The following table is the 2017 summary for the GCOS Upper-Air Network (GUAN) monitoring against the GCOS minimum requirements (25 daily soundings to 30hPa per month) for each region, according to the monthly statistics provided by NCEP. In brackets are the same statistics for 2016, 2015, 2014, 2013, 2012 and 2011. For 2012 and 2011 these are based on availability according to NCEI.</w:t>
      </w:r>
    </w:p>
    <w:p w:rsidR="00EE1BBC" w:rsidRPr="001F00C9" w:rsidRDefault="00EE1BBC" w:rsidP="00EE1BBC">
      <w:pPr>
        <w:jc w:val="both"/>
        <w:rPr>
          <w:rFonts w:cs="Arial"/>
          <w:sz w:val="20"/>
          <w:szCs w:val="20"/>
        </w:rPr>
      </w:pPr>
    </w:p>
    <w:p w:rsidR="00EE1BBC" w:rsidRPr="001F00C9" w:rsidRDefault="00EE1BBC" w:rsidP="00EE1BBC">
      <w:pPr>
        <w:rPr>
          <w:rFonts w:cs="Arial"/>
          <w:sz w:val="10"/>
          <w:szCs w:val="10"/>
        </w:rPr>
      </w:pPr>
    </w:p>
    <w:p w:rsidR="00EE1BBC" w:rsidRPr="001F00C9" w:rsidRDefault="00EE1BBC" w:rsidP="00EE1BBC">
      <w:pPr>
        <w:rPr>
          <w:rFonts w:cs="Arial"/>
          <w:sz w:val="10"/>
          <w:szCs w:val="10"/>
        </w:rPr>
      </w:pPr>
    </w:p>
    <w:tbl>
      <w:tblPr>
        <w:tblStyle w:val="TableGrid1"/>
        <w:tblW w:w="0" w:type="auto"/>
        <w:jc w:val="center"/>
        <w:tblLook w:val="04A0" w:firstRow="1" w:lastRow="0" w:firstColumn="1" w:lastColumn="0" w:noHBand="0" w:noVBand="1"/>
      </w:tblPr>
      <w:tblGrid>
        <w:gridCol w:w="2196"/>
        <w:gridCol w:w="1138"/>
        <w:gridCol w:w="5127"/>
      </w:tblGrid>
      <w:tr w:rsidR="00EE1BBC" w:rsidRPr="001F00C9" w:rsidTr="00B108C1">
        <w:trPr>
          <w:trHeight w:val="887"/>
          <w:jc w:val="center"/>
        </w:trPr>
        <w:tc>
          <w:tcPr>
            <w:tcW w:w="2196" w:type="dxa"/>
          </w:tcPr>
          <w:p w:rsidR="00EE1BBC" w:rsidRPr="001F00C9" w:rsidRDefault="00EE1BBC" w:rsidP="00B108C1">
            <w:pPr>
              <w:rPr>
                <w:rFonts w:cs="Arial"/>
                <w:b/>
                <w:sz w:val="20"/>
                <w:szCs w:val="20"/>
              </w:rPr>
            </w:pPr>
            <w:r w:rsidRPr="001F00C9">
              <w:rPr>
                <w:rFonts w:cs="Arial"/>
                <w:b/>
                <w:sz w:val="20"/>
                <w:szCs w:val="20"/>
              </w:rPr>
              <w:t>Region</w:t>
            </w:r>
          </w:p>
        </w:tc>
        <w:tc>
          <w:tcPr>
            <w:tcW w:w="1138" w:type="dxa"/>
          </w:tcPr>
          <w:p w:rsidR="00EE1BBC" w:rsidRPr="001F00C9" w:rsidRDefault="00EE1BBC" w:rsidP="00B108C1">
            <w:pPr>
              <w:jc w:val="center"/>
              <w:rPr>
                <w:rFonts w:cs="Arial"/>
                <w:b/>
                <w:sz w:val="20"/>
                <w:szCs w:val="20"/>
              </w:rPr>
            </w:pPr>
            <w:r w:rsidRPr="001F00C9">
              <w:rPr>
                <w:rFonts w:cs="Arial"/>
                <w:b/>
                <w:sz w:val="20"/>
                <w:szCs w:val="20"/>
              </w:rPr>
              <w:t>Number</w:t>
            </w:r>
          </w:p>
          <w:p w:rsidR="00EE1BBC" w:rsidRPr="001F00C9" w:rsidRDefault="00EE1BBC" w:rsidP="00B108C1">
            <w:pPr>
              <w:jc w:val="center"/>
              <w:rPr>
                <w:rFonts w:cs="Arial"/>
                <w:b/>
                <w:sz w:val="20"/>
                <w:szCs w:val="20"/>
              </w:rPr>
            </w:pPr>
            <w:r w:rsidRPr="001F00C9">
              <w:rPr>
                <w:rFonts w:cs="Arial"/>
                <w:b/>
                <w:sz w:val="20"/>
                <w:szCs w:val="20"/>
              </w:rPr>
              <w:t>of GUAN stations</w:t>
            </w:r>
          </w:p>
        </w:tc>
        <w:tc>
          <w:tcPr>
            <w:tcW w:w="5127" w:type="dxa"/>
          </w:tcPr>
          <w:p w:rsidR="00EE1BBC" w:rsidRPr="001F00C9" w:rsidRDefault="00EE1BBC" w:rsidP="00B108C1">
            <w:pPr>
              <w:rPr>
                <w:rFonts w:cs="Arial"/>
                <w:b/>
                <w:sz w:val="20"/>
                <w:szCs w:val="20"/>
              </w:rPr>
            </w:pPr>
            <w:r w:rsidRPr="001F00C9">
              <w:rPr>
                <w:rFonts w:cs="Arial"/>
                <w:b/>
                <w:sz w:val="20"/>
                <w:szCs w:val="20"/>
              </w:rPr>
              <w:t>% meeting minimum GCOS requirements in 2017</w:t>
            </w:r>
          </w:p>
          <w:p w:rsidR="00EE1BBC" w:rsidRPr="001F00C9" w:rsidRDefault="00EE1BBC" w:rsidP="00B108C1">
            <w:pPr>
              <w:rPr>
                <w:rFonts w:cs="Arial"/>
                <w:b/>
                <w:sz w:val="20"/>
                <w:szCs w:val="20"/>
              </w:rPr>
            </w:pPr>
            <w:r w:rsidRPr="001F00C9">
              <w:rPr>
                <w:rFonts w:cs="Arial"/>
                <w:b/>
                <w:sz w:val="20"/>
                <w:szCs w:val="20"/>
              </w:rPr>
              <w:t>(% for 2016, 2015, 2014, 2013, 2012 and 2011)</w:t>
            </w:r>
          </w:p>
        </w:tc>
      </w:tr>
      <w:tr w:rsidR="00EE1BBC" w:rsidRPr="001F00C9" w:rsidTr="00B108C1">
        <w:trPr>
          <w:trHeight w:val="283"/>
          <w:jc w:val="center"/>
        </w:trPr>
        <w:tc>
          <w:tcPr>
            <w:tcW w:w="2196" w:type="dxa"/>
          </w:tcPr>
          <w:p w:rsidR="00EE1BBC" w:rsidRPr="001F00C9" w:rsidRDefault="00EE1BBC" w:rsidP="00B108C1">
            <w:pPr>
              <w:rPr>
                <w:rFonts w:cs="Arial"/>
                <w:bCs/>
                <w:sz w:val="20"/>
                <w:szCs w:val="20"/>
              </w:rPr>
            </w:pPr>
            <w:r w:rsidRPr="001F00C9">
              <w:rPr>
                <w:rFonts w:cs="Arial"/>
                <w:bCs/>
                <w:sz w:val="20"/>
                <w:szCs w:val="20"/>
              </w:rPr>
              <w:t>RA-I</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23</w:t>
            </w:r>
          </w:p>
        </w:tc>
        <w:tc>
          <w:tcPr>
            <w:tcW w:w="5127" w:type="dxa"/>
          </w:tcPr>
          <w:p w:rsidR="00EE1BBC" w:rsidRPr="001F00C9" w:rsidRDefault="00EE1BBC" w:rsidP="00B108C1">
            <w:pPr>
              <w:rPr>
                <w:rFonts w:cs="Arial"/>
                <w:bCs/>
                <w:sz w:val="20"/>
                <w:szCs w:val="20"/>
              </w:rPr>
            </w:pPr>
            <w:r w:rsidRPr="001F00C9">
              <w:rPr>
                <w:rFonts w:cs="Arial"/>
                <w:bCs/>
                <w:sz w:val="20"/>
                <w:szCs w:val="20"/>
              </w:rPr>
              <w:t>30% (39%, 35%, 39%, 46%, 48%, 57%)</w:t>
            </w:r>
          </w:p>
        </w:tc>
      </w:tr>
      <w:tr w:rsidR="00EE1BBC" w:rsidRPr="001F00C9" w:rsidTr="00B108C1">
        <w:trPr>
          <w:trHeight w:val="303"/>
          <w:jc w:val="center"/>
        </w:trPr>
        <w:tc>
          <w:tcPr>
            <w:tcW w:w="2196" w:type="dxa"/>
          </w:tcPr>
          <w:p w:rsidR="00EE1BBC" w:rsidRPr="001F00C9" w:rsidRDefault="00EE1BBC" w:rsidP="00B108C1">
            <w:pPr>
              <w:rPr>
                <w:rFonts w:cs="Arial"/>
                <w:bCs/>
                <w:sz w:val="20"/>
                <w:szCs w:val="20"/>
              </w:rPr>
            </w:pPr>
            <w:r w:rsidRPr="001F00C9">
              <w:rPr>
                <w:rFonts w:cs="Arial"/>
                <w:bCs/>
                <w:sz w:val="20"/>
                <w:szCs w:val="20"/>
              </w:rPr>
              <w:t>RA-II</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38</w:t>
            </w:r>
          </w:p>
        </w:tc>
        <w:tc>
          <w:tcPr>
            <w:tcW w:w="5127" w:type="dxa"/>
          </w:tcPr>
          <w:p w:rsidR="00EE1BBC" w:rsidRPr="001F00C9" w:rsidRDefault="00EE1BBC" w:rsidP="00B108C1">
            <w:pPr>
              <w:rPr>
                <w:rFonts w:cs="Arial"/>
                <w:bCs/>
                <w:sz w:val="20"/>
                <w:szCs w:val="20"/>
              </w:rPr>
            </w:pPr>
            <w:r w:rsidRPr="001F00C9">
              <w:rPr>
                <w:rFonts w:cs="Arial"/>
                <w:bCs/>
                <w:sz w:val="20"/>
                <w:szCs w:val="20"/>
              </w:rPr>
              <w:t>89% (87%, 87%, 87%, 87%, 87%, 87%)</w:t>
            </w:r>
          </w:p>
        </w:tc>
      </w:tr>
      <w:tr w:rsidR="00EE1BBC" w:rsidRPr="001F00C9" w:rsidTr="00B108C1">
        <w:trPr>
          <w:trHeight w:val="283"/>
          <w:jc w:val="center"/>
        </w:trPr>
        <w:tc>
          <w:tcPr>
            <w:tcW w:w="2196" w:type="dxa"/>
          </w:tcPr>
          <w:p w:rsidR="00EE1BBC" w:rsidRPr="001F00C9" w:rsidRDefault="00EE1BBC" w:rsidP="00B108C1">
            <w:pPr>
              <w:rPr>
                <w:rFonts w:cs="Arial"/>
                <w:bCs/>
                <w:sz w:val="20"/>
                <w:szCs w:val="20"/>
              </w:rPr>
            </w:pPr>
            <w:r w:rsidRPr="001F00C9">
              <w:rPr>
                <w:rFonts w:cs="Arial"/>
                <w:bCs/>
                <w:sz w:val="20"/>
                <w:szCs w:val="20"/>
              </w:rPr>
              <w:t>RA-III</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18</w:t>
            </w:r>
          </w:p>
        </w:tc>
        <w:tc>
          <w:tcPr>
            <w:tcW w:w="5127" w:type="dxa"/>
          </w:tcPr>
          <w:p w:rsidR="00EE1BBC" w:rsidRPr="001F00C9" w:rsidRDefault="00EE1BBC" w:rsidP="00B108C1">
            <w:pPr>
              <w:rPr>
                <w:rFonts w:cs="Arial"/>
                <w:bCs/>
                <w:sz w:val="20"/>
                <w:szCs w:val="20"/>
              </w:rPr>
            </w:pPr>
            <w:r w:rsidRPr="001F00C9">
              <w:rPr>
                <w:rFonts w:cs="Arial"/>
                <w:bCs/>
                <w:sz w:val="20"/>
                <w:szCs w:val="20"/>
              </w:rPr>
              <w:t>61% (61%, 67%, 72%, 67%, 89%, 78%)</w:t>
            </w:r>
          </w:p>
        </w:tc>
      </w:tr>
      <w:tr w:rsidR="00EE1BBC" w:rsidRPr="001F00C9" w:rsidTr="00B108C1">
        <w:trPr>
          <w:trHeight w:val="303"/>
          <w:jc w:val="center"/>
        </w:trPr>
        <w:tc>
          <w:tcPr>
            <w:tcW w:w="2196" w:type="dxa"/>
          </w:tcPr>
          <w:p w:rsidR="00EE1BBC" w:rsidRPr="001F00C9" w:rsidRDefault="00EE1BBC" w:rsidP="00B108C1">
            <w:pPr>
              <w:rPr>
                <w:rFonts w:cs="Arial"/>
                <w:bCs/>
                <w:sz w:val="20"/>
                <w:szCs w:val="20"/>
              </w:rPr>
            </w:pPr>
            <w:r w:rsidRPr="001F00C9">
              <w:rPr>
                <w:rFonts w:cs="Arial"/>
                <w:bCs/>
                <w:sz w:val="20"/>
                <w:szCs w:val="20"/>
              </w:rPr>
              <w:t>RA-IV</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24</w:t>
            </w:r>
          </w:p>
        </w:tc>
        <w:tc>
          <w:tcPr>
            <w:tcW w:w="5127" w:type="dxa"/>
          </w:tcPr>
          <w:p w:rsidR="00EE1BBC" w:rsidRPr="001F00C9" w:rsidRDefault="00EE1BBC" w:rsidP="00B108C1">
            <w:pPr>
              <w:rPr>
                <w:rFonts w:cs="Arial"/>
                <w:bCs/>
                <w:sz w:val="20"/>
                <w:szCs w:val="20"/>
              </w:rPr>
            </w:pPr>
            <w:r w:rsidRPr="001F00C9">
              <w:rPr>
                <w:rFonts w:cs="Arial"/>
                <w:bCs/>
                <w:sz w:val="20"/>
                <w:szCs w:val="20"/>
              </w:rPr>
              <w:t>92% (87%, 79%, 83%, 75%, 83%, 87%)</w:t>
            </w:r>
          </w:p>
        </w:tc>
      </w:tr>
      <w:tr w:rsidR="00EE1BBC" w:rsidRPr="001F00C9" w:rsidTr="00B108C1">
        <w:trPr>
          <w:trHeight w:val="283"/>
          <w:jc w:val="center"/>
        </w:trPr>
        <w:tc>
          <w:tcPr>
            <w:tcW w:w="2196" w:type="dxa"/>
          </w:tcPr>
          <w:p w:rsidR="00EE1BBC" w:rsidRPr="001F00C9" w:rsidRDefault="00EE1BBC" w:rsidP="00B108C1">
            <w:pPr>
              <w:rPr>
                <w:rFonts w:cs="Arial"/>
                <w:bCs/>
                <w:sz w:val="20"/>
                <w:szCs w:val="20"/>
              </w:rPr>
            </w:pPr>
            <w:r w:rsidRPr="001F00C9">
              <w:rPr>
                <w:rFonts w:cs="Arial"/>
                <w:bCs/>
                <w:sz w:val="20"/>
                <w:szCs w:val="20"/>
              </w:rPr>
              <w:t>RA-V</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38</w:t>
            </w:r>
          </w:p>
        </w:tc>
        <w:tc>
          <w:tcPr>
            <w:tcW w:w="5127" w:type="dxa"/>
          </w:tcPr>
          <w:p w:rsidR="00EE1BBC" w:rsidRPr="001F00C9" w:rsidRDefault="00EE1BBC" w:rsidP="00B108C1">
            <w:pPr>
              <w:rPr>
                <w:rFonts w:cs="Arial"/>
                <w:bCs/>
                <w:sz w:val="20"/>
                <w:szCs w:val="20"/>
              </w:rPr>
            </w:pPr>
            <w:r w:rsidRPr="001F00C9">
              <w:rPr>
                <w:rFonts w:cs="Arial"/>
                <w:bCs/>
                <w:sz w:val="20"/>
                <w:szCs w:val="20"/>
              </w:rPr>
              <w:t>79% (84%, 79%, 76%, 74%, 84%, 87%)</w:t>
            </w:r>
          </w:p>
        </w:tc>
      </w:tr>
      <w:tr w:rsidR="00EE1BBC" w:rsidRPr="001F00C9" w:rsidTr="00B108C1">
        <w:trPr>
          <w:trHeight w:val="283"/>
          <w:jc w:val="center"/>
        </w:trPr>
        <w:tc>
          <w:tcPr>
            <w:tcW w:w="2196" w:type="dxa"/>
          </w:tcPr>
          <w:p w:rsidR="00EE1BBC" w:rsidRPr="001F00C9" w:rsidRDefault="00EE1BBC" w:rsidP="00B108C1">
            <w:pPr>
              <w:rPr>
                <w:rFonts w:cs="Arial"/>
                <w:bCs/>
                <w:sz w:val="20"/>
                <w:szCs w:val="20"/>
              </w:rPr>
            </w:pPr>
            <w:r w:rsidRPr="001F00C9">
              <w:rPr>
                <w:rFonts w:cs="Arial"/>
                <w:bCs/>
                <w:sz w:val="20"/>
                <w:szCs w:val="20"/>
              </w:rPr>
              <w:t>RA-VI</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24</w:t>
            </w:r>
          </w:p>
        </w:tc>
        <w:tc>
          <w:tcPr>
            <w:tcW w:w="5127" w:type="dxa"/>
          </w:tcPr>
          <w:p w:rsidR="00EE1BBC" w:rsidRPr="001F00C9" w:rsidRDefault="00EE1BBC" w:rsidP="00B108C1">
            <w:pPr>
              <w:rPr>
                <w:rFonts w:cs="Arial"/>
                <w:bCs/>
                <w:sz w:val="20"/>
                <w:szCs w:val="20"/>
              </w:rPr>
            </w:pPr>
            <w:r w:rsidRPr="001F00C9">
              <w:rPr>
                <w:rFonts w:cs="Arial"/>
                <w:bCs/>
                <w:sz w:val="20"/>
                <w:szCs w:val="20"/>
              </w:rPr>
              <w:t>87% (87%, 87%, 87%, 83%, 92%, 87%)</w:t>
            </w:r>
          </w:p>
        </w:tc>
      </w:tr>
      <w:tr w:rsidR="00EE1BBC" w:rsidRPr="001F00C9" w:rsidTr="00B108C1">
        <w:trPr>
          <w:trHeight w:val="303"/>
          <w:jc w:val="center"/>
        </w:trPr>
        <w:tc>
          <w:tcPr>
            <w:tcW w:w="2196" w:type="dxa"/>
          </w:tcPr>
          <w:p w:rsidR="00EE1BBC" w:rsidRPr="001F00C9" w:rsidRDefault="00EE1BBC" w:rsidP="00B108C1">
            <w:pPr>
              <w:rPr>
                <w:rFonts w:cs="Arial"/>
                <w:bCs/>
                <w:sz w:val="20"/>
                <w:szCs w:val="20"/>
              </w:rPr>
            </w:pPr>
            <w:r w:rsidRPr="001F00C9">
              <w:rPr>
                <w:rFonts w:cs="Arial"/>
                <w:bCs/>
                <w:sz w:val="20"/>
                <w:szCs w:val="20"/>
              </w:rPr>
              <w:t>ANTON</w:t>
            </w:r>
          </w:p>
        </w:tc>
        <w:tc>
          <w:tcPr>
            <w:tcW w:w="1138" w:type="dxa"/>
          </w:tcPr>
          <w:p w:rsidR="00EE1BBC" w:rsidRPr="001F00C9" w:rsidRDefault="00EE1BBC" w:rsidP="00B108C1">
            <w:pPr>
              <w:jc w:val="center"/>
              <w:rPr>
                <w:rFonts w:cs="Arial"/>
                <w:bCs/>
                <w:sz w:val="20"/>
                <w:szCs w:val="20"/>
              </w:rPr>
            </w:pPr>
            <w:r w:rsidRPr="001F00C9">
              <w:rPr>
                <w:rFonts w:cs="Arial"/>
                <w:bCs/>
                <w:sz w:val="20"/>
                <w:szCs w:val="20"/>
              </w:rPr>
              <w:t>12</w:t>
            </w:r>
          </w:p>
        </w:tc>
        <w:tc>
          <w:tcPr>
            <w:tcW w:w="5127" w:type="dxa"/>
          </w:tcPr>
          <w:p w:rsidR="00EE1BBC" w:rsidRPr="001F00C9" w:rsidRDefault="00EE1BBC" w:rsidP="00B108C1">
            <w:pPr>
              <w:rPr>
                <w:rFonts w:cs="Arial"/>
                <w:bCs/>
                <w:sz w:val="20"/>
                <w:szCs w:val="20"/>
              </w:rPr>
            </w:pPr>
            <w:r w:rsidRPr="001F00C9">
              <w:rPr>
                <w:rFonts w:cs="Arial"/>
                <w:bCs/>
                <w:sz w:val="20"/>
                <w:szCs w:val="20"/>
              </w:rPr>
              <w:t>67% (58%, 67%, 58%, 58%, 83%, 83%)</w:t>
            </w:r>
          </w:p>
        </w:tc>
      </w:tr>
    </w:tbl>
    <w:p w:rsidR="00EE1BBC" w:rsidRPr="001F00C9" w:rsidRDefault="00EE1BBC" w:rsidP="00EE1BBC">
      <w:pPr>
        <w:rPr>
          <w:rFonts w:cs="Arial"/>
          <w:sz w:val="10"/>
          <w:szCs w:val="10"/>
        </w:rPr>
      </w:pPr>
    </w:p>
    <w:p w:rsidR="00EE1BBC" w:rsidRPr="001F00C9" w:rsidRDefault="00EE1BBC" w:rsidP="00EE1BBC">
      <w:pPr>
        <w:contextualSpacing/>
        <w:jc w:val="both"/>
        <w:rPr>
          <w:rFonts w:eastAsia="Times New Roman" w:cs="Arial"/>
          <w:szCs w:val="22"/>
        </w:rPr>
      </w:pPr>
      <w:r w:rsidRPr="001F00C9">
        <w:rPr>
          <w:rFonts w:eastAsia="Times New Roman" w:cs="Arial"/>
          <w:szCs w:val="22"/>
        </w:rPr>
        <w:t>Eleven (11) of the GUAN stations (6%) were ‘Silent’ (zero reported TEMP observations) during 2017, which is the highest since this monitoring was started in 2011. In 2016 and 2015 it was seven (7), 2014 and 2013 it was three, four (4) in 2012 and five (5) in 2011.</w:t>
      </w:r>
    </w:p>
    <w:p w:rsidR="00EE1BBC" w:rsidRPr="001F00C9" w:rsidRDefault="00EE1BBC" w:rsidP="00EE1BBC">
      <w:pPr>
        <w:jc w:val="both"/>
        <w:rPr>
          <w:rFonts w:cs="Arial"/>
          <w:sz w:val="20"/>
          <w:szCs w:val="20"/>
        </w:rPr>
      </w:pPr>
    </w:p>
    <w:p w:rsidR="00EE1BBC" w:rsidRPr="001F00C9" w:rsidRDefault="00EE1BBC" w:rsidP="00EE1BBC">
      <w:pPr>
        <w:jc w:val="both"/>
        <w:rPr>
          <w:rFonts w:cs="Arial"/>
          <w:sz w:val="20"/>
          <w:szCs w:val="20"/>
        </w:rPr>
      </w:pPr>
    </w:p>
    <w:p w:rsidR="00EE1BBC" w:rsidRPr="001F00C9" w:rsidRDefault="00EE1BBC" w:rsidP="00EE1BBC">
      <w:pPr>
        <w:jc w:val="both"/>
        <w:rPr>
          <w:rFonts w:cs="Arial"/>
          <w:szCs w:val="22"/>
        </w:rPr>
      </w:pPr>
      <w:r w:rsidRPr="001F00C9">
        <w:rPr>
          <w:rFonts w:cs="Arial"/>
          <w:szCs w:val="22"/>
        </w:rPr>
        <w:t>The key points for each region are as follows:</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t xml:space="preserve">In Region I, only 30% of the GUAN stations have met the minimum requirement for 2017, compared with 39% for 2016, which continues, by some margin, to be the worst performing region. This poor, and worsening, performance is mainly associated with the necessary funding required to operate and maintain an upper-air station. Communication with the station at a technical level to establish the cause of the poor performance continues to be a challenge and often means that relatively simple issues can go unaddressed for long periods of time. In addition there are an increasing number of stations that have problems and failures with their hydrogen generator systems which has resulted in a period of long-term inactivity. Three (3) stations were in-active during the period; </w:t>
      </w:r>
      <w:proofErr w:type="spellStart"/>
      <w:r w:rsidRPr="001F00C9">
        <w:rPr>
          <w:rFonts w:cs="Arial"/>
          <w:szCs w:val="22"/>
        </w:rPr>
        <w:t>Vacoas</w:t>
      </w:r>
      <w:proofErr w:type="spellEnd"/>
      <w:r w:rsidRPr="001F00C9">
        <w:rPr>
          <w:rFonts w:cs="Arial"/>
          <w:szCs w:val="22"/>
        </w:rPr>
        <w:t xml:space="preserve">, Mauritius (Radiosonde consumables); Khartoum, Sudan (Hydrogen system); and Dar </w:t>
      </w:r>
      <w:proofErr w:type="spellStart"/>
      <w:r w:rsidRPr="001F00C9">
        <w:rPr>
          <w:rFonts w:cs="Arial"/>
          <w:szCs w:val="22"/>
        </w:rPr>
        <w:t>es</w:t>
      </w:r>
      <w:proofErr w:type="spellEnd"/>
      <w:r w:rsidRPr="001F00C9">
        <w:rPr>
          <w:rFonts w:cs="Arial"/>
          <w:szCs w:val="22"/>
        </w:rPr>
        <w:t xml:space="preserve"> Salaam, Tanzania (Hydrogen system). Eight (8) stations had at least 1 month with zero reported TEMP observations; 61641; 62414; 63985; 64910; 67774; 68110; 68592 and 68816.</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t xml:space="preserve">The performance in Region II in 2017 was similar to that for the previous years, with 4 stations not meeting the minimum requirement. No stations were completely in-active during the period, although the station in Pakistan (41780) is only launching PILOT balloons and with no TEMP soundings for 7 years, it is not meeting the GUAN requirements. The two stations in Thailand (48327 Chiang Mai and 48453 </w:t>
      </w:r>
      <w:proofErr w:type="spellStart"/>
      <w:r w:rsidRPr="001F00C9">
        <w:rPr>
          <w:rFonts w:cs="Arial"/>
          <w:szCs w:val="22"/>
        </w:rPr>
        <w:t>Bangna</w:t>
      </w:r>
      <w:proofErr w:type="spellEnd"/>
      <w:r w:rsidRPr="001F00C9">
        <w:rPr>
          <w:rFonts w:cs="Arial"/>
          <w:szCs w:val="22"/>
        </w:rPr>
        <w:t>) both had lengthy periods of inactivity owing to radiosonde supply issues, similar to 2016.</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lastRenderedPageBreak/>
        <w:t xml:space="preserve">The performance in Region III in 2017 was the same as 2016 but slightly worse than for the period 2013-2015, and a marked decrease from 2011-12, with 7 stations not meeting the minimum requirement. Three (3) stations were completely inactive, Manus 82332 and Fortaleza 82397, Brazil (Equipment and Hydrogen system) and San Cristobal 84008, Ecuador (Equipment and staffing issues). </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t>The performance in Region IV in 2017 was again an improvement on the previous year, with 2 stations not meeting the minimum requirement. No stations were completely in-active during the period but two (2) stations, 76654 and 78762, had at least 1 month with zero reported TEMP observations.</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t xml:space="preserve">Region V was slightly worse in 2017 compared to 2016, with 8 stations not meeting the minimum requirement. Four (4) stations were completely in-active during the period, Honiara, Solomon Islands; Vanuatu, </w:t>
      </w:r>
      <w:proofErr w:type="spellStart"/>
      <w:r w:rsidRPr="001F00C9">
        <w:rPr>
          <w:rFonts w:cs="Arial"/>
          <w:szCs w:val="22"/>
        </w:rPr>
        <w:t>Bauerfield</w:t>
      </w:r>
      <w:proofErr w:type="spellEnd"/>
      <w:r w:rsidRPr="001F00C9">
        <w:rPr>
          <w:rFonts w:cs="Arial"/>
          <w:szCs w:val="22"/>
        </w:rPr>
        <w:t xml:space="preserve">; </w:t>
      </w:r>
      <w:proofErr w:type="spellStart"/>
      <w:r w:rsidRPr="001F00C9">
        <w:rPr>
          <w:rFonts w:cs="Arial"/>
          <w:szCs w:val="22"/>
        </w:rPr>
        <w:t>Rarotonga</w:t>
      </w:r>
      <w:proofErr w:type="spellEnd"/>
      <w:r w:rsidRPr="001F00C9">
        <w:rPr>
          <w:rFonts w:cs="Arial"/>
          <w:szCs w:val="22"/>
        </w:rPr>
        <w:t>, Cook Islands and Port Moresby, PNG, all due to having no radiosonde consumables. Three (3) stations, 91610, 94302 and 96315, had at least 1 month with zero reported TEMP observations.</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t xml:space="preserve">The performance in Region VI in 2017 was the same as for the previous 3 years, with 3 stations not meeting the minimum requirement. Only Yerevan, Armenia, had a period of inactivity owing to a fault with the hydrogen system, which was resolved at the end of March 2017. </w:t>
      </w:r>
    </w:p>
    <w:p w:rsidR="00EE1BBC" w:rsidRPr="001F00C9" w:rsidRDefault="00EE1BBC" w:rsidP="00EE1BBC">
      <w:pPr>
        <w:jc w:val="both"/>
        <w:rPr>
          <w:rFonts w:cs="Arial"/>
          <w:szCs w:val="22"/>
        </w:rPr>
      </w:pPr>
    </w:p>
    <w:p w:rsidR="00EE1BBC" w:rsidRPr="001F00C9" w:rsidRDefault="00EE1BBC" w:rsidP="00EE1BBC">
      <w:pPr>
        <w:jc w:val="both"/>
        <w:rPr>
          <w:rFonts w:cs="Arial"/>
          <w:szCs w:val="22"/>
        </w:rPr>
      </w:pPr>
      <w:r w:rsidRPr="001F00C9">
        <w:rPr>
          <w:rFonts w:cs="Arial"/>
          <w:szCs w:val="22"/>
        </w:rPr>
        <w:t>The performance in the Antarctica region in 2017 was a small improvement than for 2016, with 4 stations not meeting the minimum requirement. No stations were completely in-active during the period. Halley Bay (89022) had an extensive period of inactivity owing to the station needing to be relocated for safety reasons.</w:t>
      </w:r>
    </w:p>
    <w:p w:rsidR="00EE1BBC" w:rsidRPr="001F00C9" w:rsidRDefault="001F00C9" w:rsidP="00EE1BBC">
      <w:pPr>
        <w:spacing w:before="240" w:after="120"/>
        <w:jc w:val="both"/>
        <w:rPr>
          <w:rFonts w:cs="Arial"/>
          <w:b/>
          <w:sz w:val="24"/>
        </w:rPr>
      </w:pPr>
      <w:r>
        <w:rPr>
          <w:rFonts w:cs="Arial"/>
          <w:b/>
          <w:sz w:val="24"/>
          <w:lang w:val="en-US"/>
        </w:rPr>
        <w:t xml:space="preserve">1.4 </w:t>
      </w:r>
      <w:r w:rsidR="00EE1BBC" w:rsidRPr="001F00C9">
        <w:rPr>
          <w:rFonts w:cs="Arial"/>
          <w:b/>
          <w:sz w:val="24"/>
          <w:lang w:val="en-US"/>
        </w:rPr>
        <w:t>GCOS Cooperation Mechanism (GCM)</w:t>
      </w:r>
    </w:p>
    <w:p w:rsidR="00EE1BBC" w:rsidRPr="001F00C9" w:rsidRDefault="00EE1BBC" w:rsidP="00EE1BBC">
      <w:pPr>
        <w:pStyle w:val="ListParagraph"/>
        <w:spacing w:before="240"/>
        <w:ind w:left="0"/>
        <w:jc w:val="both"/>
      </w:pPr>
      <w:r w:rsidRPr="001F00C9">
        <w:t xml:space="preserve">The GCM is the system improvement and resource mobilization activity of the GCOS programme. It has been established following a decision by the UNFCCC SBSTA in 2004 (UNFCCC Decision 5/CP.5) in order “to enable developing countries to collect, exchange, and utilize data on a continuing basis in pursuance of the UNFCCC”.  Since then, more than 3 million USD have been raised over the years to accomplish projects dedicated to improve climate observation systems. The following projects have been completed in 2017, or are still on-going: </w:t>
      </w:r>
    </w:p>
    <w:p w:rsidR="00EE1BBC" w:rsidRPr="001F00C9" w:rsidRDefault="00EE1BBC" w:rsidP="00EE1BBC">
      <w:pPr>
        <w:pStyle w:val="ListParagraph"/>
        <w:tabs>
          <w:tab w:val="left" w:pos="1080"/>
        </w:tabs>
        <w:autoSpaceDE w:val="0"/>
        <w:autoSpaceDN w:val="0"/>
        <w:adjustRightInd w:val="0"/>
        <w:ind w:left="360"/>
        <w:rPr>
          <w:rFonts w:eastAsia="PMingLiU"/>
          <w:i/>
          <w:color w:val="000000"/>
        </w:rPr>
      </w:pPr>
    </w:p>
    <w:p w:rsidR="00EE1BBC" w:rsidRPr="001F00C9" w:rsidRDefault="00EE1BBC" w:rsidP="00EE1BBC">
      <w:pPr>
        <w:pStyle w:val="ListParagraph"/>
        <w:numPr>
          <w:ilvl w:val="0"/>
          <w:numId w:val="1"/>
        </w:numPr>
        <w:tabs>
          <w:tab w:val="left" w:pos="1080"/>
        </w:tabs>
        <w:autoSpaceDE w:val="0"/>
        <w:autoSpaceDN w:val="0"/>
        <w:adjustRightInd w:val="0"/>
        <w:spacing w:after="120" w:line="240" w:lineRule="auto"/>
        <w:ind w:left="357" w:hanging="357"/>
        <w:contextualSpacing w:val="0"/>
        <w:rPr>
          <w:rFonts w:eastAsia="PMingLiU"/>
          <w:color w:val="000000"/>
        </w:rPr>
      </w:pPr>
      <w:r w:rsidRPr="001F00C9">
        <w:rPr>
          <w:rFonts w:eastAsia="PMingLiU"/>
        </w:rPr>
        <w:t>Engagement of a consultant based in Harare, Zimbabwe, to work part-time (50%) in the support of GCOS projects in RA-I.  The focus of the work is to re-established surface climate stations in Chad and Mali using funds kindly provided by Greece.  New Instrumentation, incorporating a non-mercury temperature solution, has been delivered and implemented in Chad;</w:t>
      </w:r>
    </w:p>
    <w:p w:rsidR="00EE1BBC" w:rsidRPr="001F00C9" w:rsidRDefault="00EE1BBC" w:rsidP="00EE1BBC">
      <w:pPr>
        <w:pStyle w:val="ListParagraph"/>
        <w:numPr>
          <w:ilvl w:val="0"/>
          <w:numId w:val="1"/>
        </w:numPr>
        <w:tabs>
          <w:tab w:val="left" w:pos="1080"/>
        </w:tabs>
        <w:autoSpaceDE w:val="0"/>
        <w:autoSpaceDN w:val="0"/>
        <w:adjustRightInd w:val="0"/>
        <w:spacing w:after="120" w:line="240" w:lineRule="auto"/>
        <w:ind w:left="357" w:hanging="357"/>
        <w:contextualSpacing w:val="0"/>
        <w:jc w:val="both"/>
        <w:rPr>
          <w:rFonts w:eastAsia="PMingLiU"/>
          <w:color w:val="000000"/>
        </w:rPr>
      </w:pPr>
      <w:r w:rsidRPr="001F00C9">
        <w:rPr>
          <w:rFonts w:eastAsia="PMingLiU"/>
        </w:rPr>
        <w:t xml:space="preserve">Support for the operations of the GUAN station at Yerevan, Armenia was sponsored by Japan in 2016, with a new competitive tender for 400 units each of radiosondes and balloons, managed by GCOS.  Unfortunately, the installed Hydrogen Generator became unserviceable in 2016 and further funds from Japan was necessary for the repair, service and local staff training, which was </w:t>
      </w:r>
      <w:r w:rsidRPr="001F00C9">
        <w:rPr>
          <w:rFonts w:eastAsia="PMingLiU"/>
          <w:color w:val="000000"/>
        </w:rPr>
        <w:t>completed</w:t>
      </w:r>
      <w:r w:rsidRPr="001F00C9">
        <w:rPr>
          <w:rFonts w:eastAsia="PMingLiU"/>
        </w:rPr>
        <w:t xml:space="preserve"> in April 2017;</w:t>
      </w:r>
    </w:p>
    <w:p w:rsidR="00EE1BBC" w:rsidRPr="001F00C9" w:rsidRDefault="00EE1BBC" w:rsidP="00EE1BBC">
      <w:pPr>
        <w:pStyle w:val="ListParagraph"/>
        <w:numPr>
          <w:ilvl w:val="0"/>
          <w:numId w:val="1"/>
        </w:numPr>
        <w:tabs>
          <w:tab w:val="left" w:pos="1080"/>
        </w:tabs>
        <w:autoSpaceDE w:val="0"/>
        <w:autoSpaceDN w:val="0"/>
        <w:adjustRightInd w:val="0"/>
        <w:spacing w:after="120" w:line="240" w:lineRule="auto"/>
        <w:ind w:left="357" w:hanging="357"/>
        <w:contextualSpacing w:val="0"/>
        <w:jc w:val="both"/>
        <w:rPr>
          <w:rFonts w:eastAsia="PMingLiU"/>
          <w:color w:val="000000"/>
        </w:rPr>
      </w:pPr>
      <w:r w:rsidRPr="001F00C9">
        <w:rPr>
          <w:rFonts w:eastAsia="PMingLiU"/>
        </w:rPr>
        <w:t xml:space="preserve">Support for the operations of the GUAN station at Nairobi, Kenya was sponsored by Switzerland since 2016, with a new competitive tender for 800 units of radiosondes (including a new </w:t>
      </w:r>
      <w:r w:rsidRPr="001F00C9">
        <w:rPr>
          <w:rFonts w:eastAsia="PMingLiU"/>
          <w:color w:val="000000"/>
        </w:rPr>
        <w:t>supplier</w:t>
      </w:r>
      <w:r w:rsidRPr="001F00C9">
        <w:rPr>
          <w:rFonts w:eastAsia="PMingLiU"/>
        </w:rPr>
        <w:t>, ground-system and local staff training) and 400 balloons, managed by GCOS;</w:t>
      </w:r>
    </w:p>
    <w:p w:rsidR="00EE1BBC" w:rsidRPr="001F00C9" w:rsidRDefault="00EE1BBC" w:rsidP="00EE1BBC">
      <w:pPr>
        <w:pStyle w:val="ListParagraph"/>
        <w:numPr>
          <w:ilvl w:val="0"/>
          <w:numId w:val="1"/>
        </w:numPr>
        <w:tabs>
          <w:tab w:val="left" w:pos="1080"/>
        </w:tabs>
        <w:autoSpaceDE w:val="0"/>
        <w:autoSpaceDN w:val="0"/>
        <w:adjustRightInd w:val="0"/>
        <w:spacing w:after="0" w:line="240" w:lineRule="auto"/>
        <w:ind w:left="360"/>
        <w:jc w:val="both"/>
        <w:rPr>
          <w:rFonts w:eastAsia="PMingLiU"/>
          <w:color w:val="000000"/>
        </w:rPr>
      </w:pPr>
      <w:r w:rsidRPr="001F00C9">
        <w:rPr>
          <w:rFonts w:eastAsia="PMingLiU"/>
          <w:color w:val="000000"/>
        </w:rPr>
        <w:lastRenderedPageBreak/>
        <w:t xml:space="preserve">Support to the CATCOS project (Switzerland), through a fund (20,000 </w:t>
      </w:r>
      <w:proofErr w:type="spellStart"/>
      <w:r w:rsidRPr="001F00C9">
        <w:rPr>
          <w:rFonts w:eastAsia="PMingLiU"/>
          <w:color w:val="000000"/>
        </w:rPr>
        <w:t>chf</w:t>
      </w:r>
      <w:proofErr w:type="spellEnd"/>
      <w:r w:rsidRPr="001F00C9">
        <w:rPr>
          <w:rFonts w:eastAsia="PMingLiU"/>
          <w:color w:val="000000"/>
        </w:rPr>
        <w:t>) made available to support ongoing operations and emergency maintenance. The agreement between WMO and CATCOS will be signed early in 2018 and will be in-force for 2 years.</w:t>
      </w:r>
    </w:p>
    <w:p w:rsidR="00E0095D" w:rsidRPr="001F00C9" w:rsidRDefault="00E0095D">
      <w:pPr>
        <w:rPr>
          <w:rFonts w:cs="Arial"/>
          <w:szCs w:val="22"/>
        </w:rPr>
      </w:pPr>
    </w:p>
    <w:sectPr w:rsidR="00E0095D" w:rsidRPr="001F00C9" w:rsidSect="00E00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D349B"/>
    <w:multiLevelType w:val="hybridMultilevel"/>
    <w:tmpl w:val="D3F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BC"/>
    <w:rsid w:val="001F00C9"/>
    <w:rsid w:val="006034BB"/>
    <w:rsid w:val="00E0095D"/>
    <w:rsid w:val="00EE1B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BC"/>
    <w:rPr>
      <w:rFonts w:ascii="Arial" w:eastAsia="SimSun" w:hAnsi="Arial" w:cs="Times New Roman"/>
      <w:szCs w:val="24"/>
      <w:lang w:eastAsia="zh-CN"/>
    </w:rPr>
  </w:style>
  <w:style w:type="paragraph" w:styleId="Heading4">
    <w:name w:val="heading 4"/>
    <w:basedOn w:val="Normal"/>
    <w:next w:val="Normal"/>
    <w:link w:val="Heading4Char"/>
    <w:uiPriority w:val="9"/>
    <w:semiHidden/>
    <w:unhideWhenUsed/>
    <w:qFormat/>
    <w:rsid w:val="00EE1B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E1BBC"/>
    <w:pPr>
      <w:tabs>
        <w:tab w:val="left" w:pos="8789"/>
      </w:tabs>
      <w:ind w:left="851" w:right="283"/>
      <w:jc w:val="both"/>
    </w:pPr>
    <w:rPr>
      <w:rFonts w:eastAsia="Times New Roman" w:cs="Arial"/>
      <w:szCs w:val="22"/>
      <w:lang w:eastAsia="fr-FR"/>
    </w:rPr>
  </w:style>
  <w:style w:type="character" w:styleId="Hyperlink">
    <w:name w:val="Hyperlink"/>
    <w:rsid w:val="00EE1BBC"/>
    <w:rPr>
      <w:color w:val="0000FF"/>
      <w:u w:val="single"/>
    </w:rPr>
  </w:style>
  <w:style w:type="table" w:styleId="TableGrid">
    <w:name w:val="Table Grid"/>
    <w:basedOn w:val="TableNormal"/>
    <w:uiPriority w:val="59"/>
    <w:rsid w:val="00EE1BBC"/>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E1BBC"/>
    <w:pPr>
      <w:spacing w:after="200" w:line="276" w:lineRule="auto"/>
      <w:ind w:left="720"/>
      <w:contextualSpacing/>
    </w:pPr>
    <w:rPr>
      <w:rFonts w:eastAsiaTheme="minorEastAsia" w:cs="Arial"/>
      <w:szCs w:val="22"/>
      <w:lang w:eastAsia="zh-TW"/>
    </w:rPr>
  </w:style>
  <w:style w:type="table" w:customStyle="1" w:styleId="TableGrid1">
    <w:name w:val="Table Grid1"/>
    <w:basedOn w:val="TableNormal"/>
    <w:next w:val="TableGrid"/>
    <w:uiPriority w:val="59"/>
    <w:rsid w:val="00EE1BB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SubTitle1">
    <w:name w:val="WMO_SubTitle1"/>
    <w:basedOn w:val="Heading4"/>
    <w:next w:val="WMOBodyText"/>
    <w:rsid w:val="00EE1BBC"/>
    <w:pPr>
      <w:spacing w:before="280"/>
    </w:pPr>
    <w:rPr>
      <w:rFonts w:ascii="Verdana" w:eastAsia="Verdana" w:hAnsi="Verdana" w:cs="Verdana"/>
      <w:b/>
      <w:iCs w:val="0"/>
      <w:color w:val="auto"/>
      <w:sz w:val="20"/>
      <w:szCs w:val="20"/>
      <w:lang w:eastAsia="zh-TW"/>
    </w:rPr>
  </w:style>
  <w:style w:type="paragraph" w:customStyle="1" w:styleId="WMOBodyText">
    <w:name w:val="WMO_BodyText"/>
    <w:link w:val="WMOBodyTextCharChar"/>
    <w:rsid w:val="00EE1BBC"/>
    <w:pPr>
      <w:spacing w:before="240"/>
    </w:pPr>
    <w:rPr>
      <w:rFonts w:ascii="Verdana" w:eastAsia="Verdana" w:hAnsi="Verdana" w:cs="Verdana"/>
      <w:sz w:val="20"/>
      <w:szCs w:val="20"/>
      <w:lang w:eastAsia="zh-TW"/>
    </w:rPr>
  </w:style>
  <w:style w:type="character" w:customStyle="1" w:styleId="WMOBodyTextCharChar">
    <w:name w:val="WMO_BodyText Char Char"/>
    <w:basedOn w:val="DefaultParagraphFont"/>
    <w:link w:val="WMOBodyText"/>
    <w:rsid w:val="00EE1BBC"/>
    <w:rPr>
      <w:rFonts w:ascii="Verdana" w:eastAsia="Verdana" w:hAnsi="Verdana" w:cs="Verdana"/>
      <w:sz w:val="20"/>
      <w:szCs w:val="20"/>
      <w:lang w:eastAsia="zh-TW"/>
    </w:rPr>
  </w:style>
  <w:style w:type="character" w:customStyle="1" w:styleId="Heading4Char">
    <w:name w:val="Heading 4 Char"/>
    <w:basedOn w:val="DefaultParagraphFont"/>
    <w:link w:val="Heading4"/>
    <w:uiPriority w:val="9"/>
    <w:semiHidden/>
    <w:rsid w:val="00EE1BBC"/>
    <w:rPr>
      <w:rFonts w:asciiTheme="majorHAnsi" w:eastAsiaTheme="majorEastAsia" w:hAnsiTheme="majorHAnsi" w:cstheme="majorBidi"/>
      <w:i/>
      <w:iCs/>
      <w:color w:val="365F91" w:themeColor="accent1" w:themeShade="BF"/>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BBC"/>
    <w:rPr>
      <w:rFonts w:ascii="Arial" w:eastAsia="SimSun" w:hAnsi="Arial" w:cs="Times New Roman"/>
      <w:szCs w:val="24"/>
      <w:lang w:eastAsia="zh-CN"/>
    </w:rPr>
  </w:style>
  <w:style w:type="paragraph" w:styleId="Heading4">
    <w:name w:val="heading 4"/>
    <w:basedOn w:val="Normal"/>
    <w:next w:val="Normal"/>
    <w:link w:val="Heading4Char"/>
    <w:uiPriority w:val="9"/>
    <w:semiHidden/>
    <w:unhideWhenUsed/>
    <w:qFormat/>
    <w:rsid w:val="00EE1B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E1BBC"/>
    <w:pPr>
      <w:tabs>
        <w:tab w:val="left" w:pos="8789"/>
      </w:tabs>
      <w:ind w:left="851" w:right="283"/>
      <w:jc w:val="both"/>
    </w:pPr>
    <w:rPr>
      <w:rFonts w:eastAsia="Times New Roman" w:cs="Arial"/>
      <w:szCs w:val="22"/>
      <w:lang w:eastAsia="fr-FR"/>
    </w:rPr>
  </w:style>
  <w:style w:type="character" w:styleId="Hyperlink">
    <w:name w:val="Hyperlink"/>
    <w:rsid w:val="00EE1BBC"/>
    <w:rPr>
      <w:color w:val="0000FF"/>
      <w:u w:val="single"/>
    </w:rPr>
  </w:style>
  <w:style w:type="table" w:styleId="TableGrid">
    <w:name w:val="Table Grid"/>
    <w:basedOn w:val="TableNormal"/>
    <w:uiPriority w:val="59"/>
    <w:rsid w:val="00EE1BBC"/>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E1BBC"/>
    <w:pPr>
      <w:spacing w:after="200" w:line="276" w:lineRule="auto"/>
      <w:ind w:left="720"/>
      <w:contextualSpacing/>
    </w:pPr>
    <w:rPr>
      <w:rFonts w:eastAsiaTheme="minorEastAsia" w:cs="Arial"/>
      <w:szCs w:val="22"/>
      <w:lang w:eastAsia="zh-TW"/>
    </w:rPr>
  </w:style>
  <w:style w:type="table" w:customStyle="1" w:styleId="TableGrid1">
    <w:name w:val="Table Grid1"/>
    <w:basedOn w:val="TableNormal"/>
    <w:next w:val="TableGrid"/>
    <w:uiPriority w:val="59"/>
    <w:rsid w:val="00EE1BBC"/>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SubTitle1">
    <w:name w:val="WMO_SubTitle1"/>
    <w:basedOn w:val="Heading4"/>
    <w:next w:val="WMOBodyText"/>
    <w:rsid w:val="00EE1BBC"/>
    <w:pPr>
      <w:spacing w:before="280"/>
    </w:pPr>
    <w:rPr>
      <w:rFonts w:ascii="Verdana" w:eastAsia="Verdana" w:hAnsi="Verdana" w:cs="Verdana"/>
      <w:b/>
      <w:iCs w:val="0"/>
      <w:color w:val="auto"/>
      <w:sz w:val="20"/>
      <w:szCs w:val="20"/>
      <w:lang w:eastAsia="zh-TW"/>
    </w:rPr>
  </w:style>
  <w:style w:type="paragraph" w:customStyle="1" w:styleId="WMOBodyText">
    <w:name w:val="WMO_BodyText"/>
    <w:link w:val="WMOBodyTextCharChar"/>
    <w:rsid w:val="00EE1BBC"/>
    <w:pPr>
      <w:spacing w:before="240"/>
    </w:pPr>
    <w:rPr>
      <w:rFonts w:ascii="Verdana" w:eastAsia="Verdana" w:hAnsi="Verdana" w:cs="Verdana"/>
      <w:sz w:val="20"/>
      <w:szCs w:val="20"/>
      <w:lang w:eastAsia="zh-TW"/>
    </w:rPr>
  </w:style>
  <w:style w:type="character" w:customStyle="1" w:styleId="WMOBodyTextCharChar">
    <w:name w:val="WMO_BodyText Char Char"/>
    <w:basedOn w:val="DefaultParagraphFont"/>
    <w:link w:val="WMOBodyText"/>
    <w:rsid w:val="00EE1BBC"/>
    <w:rPr>
      <w:rFonts w:ascii="Verdana" w:eastAsia="Verdana" w:hAnsi="Verdana" w:cs="Verdana"/>
      <w:sz w:val="20"/>
      <w:szCs w:val="20"/>
      <w:lang w:eastAsia="zh-TW"/>
    </w:rPr>
  </w:style>
  <w:style w:type="character" w:customStyle="1" w:styleId="Heading4Char">
    <w:name w:val="Heading 4 Char"/>
    <w:basedOn w:val="DefaultParagraphFont"/>
    <w:link w:val="Heading4"/>
    <w:uiPriority w:val="9"/>
    <w:semiHidden/>
    <w:rsid w:val="00EE1BBC"/>
    <w:rPr>
      <w:rFonts w:asciiTheme="majorHAnsi" w:eastAsiaTheme="majorEastAsia" w:hAnsiTheme="majorHAnsi" w:cstheme="majorBidi"/>
      <w:i/>
      <w:iCs/>
      <w:color w:val="365F91" w:themeColor="accent1" w:themeShade="B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os.dwd.de/rav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Oakley, Tim</dc:creator>
  <cp:lastModifiedBy>Caterina Tassone</cp:lastModifiedBy>
  <cp:revision>2</cp:revision>
  <dcterms:created xsi:type="dcterms:W3CDTF">2018-02-27T15:27:00Z</dcterms:created>
  <dcterms:modified xsi:type="dcterms:W3CDTF">2018-02-27T15:27:00Z</dcterms:modified>
</cp:coreProperties>
</file>