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pPr w:leftFromText="180" w:rightFromText="180" w:tblpY="689"/>
        <w:tblW w:w="8947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686"/>
        <w:gridCol w:w="1985"/>
        <w:gridCol w:w="1985"/>
      </w:tblGrid>
      <w:tr w:rsidR="00430242" w:rsidRPr="002A6F5C" w:rsidTr="00115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430242" w:rsidRPr="001C3157" w:rsidRDefault="00430242" w:rsidP="00430242">
            <w:pPr>
              <w:pStyle w:val="Header"/>
              <w:spacing w:after="0"/>
            </w:pPr>
          </w:p>
        </w:tc>
        <w:tc>
          <w:tcPr>
            <w:tcW w:w="3686" w:type="dxa"/>
            <w:vAlign w:val="center"/>
          </w:tcPr>
          <w:p w:rsidR="00430242" w:rsidRPr="002A6F5C" w:rsidRDefault="00430242" w:rsidP="00430242">
            <w:pPr>
              <w:pStyle w:val="Header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F5C">
              <w:t>Action</w:t>
            </w:r>
          </w:p>
        </w:tc>
        <w:tc>
          <w:tcPr>
            <w:tcW w:w="1985" w:type="dxa"/>
            <w:vAlign w:val="center"/>
          </w:tcPr>
          <w:p w:rsidR="00430242" w:rsidRPr="002A6F5C" w:rsidRDefault="00430242" w:rsidP="00430242">
            <w:pPr>
              <w:pStyle w:val="Header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F5C">
              <w:t>Responsibility</w:t>
            </w:r>
          </w:p>
        </w:tc>
        <w:tc>
          <w:tcPr>
            <w:tcW w:w="1985" w:type="dxa"/>
          </w:tcPr>
          <w:p w:rsidR="00430242" w:rsidRPr="002A6F5C" w:rsidRDefault="00430242" w:rsidP="00430242">
            <w:pPr>
              <w:pStyle w:val="Header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02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tabs>
                <w:tab w:val="left" w:pos="89"/>
              </w:tabs>
              <w:spacing w:after="0"/>
              <w:ind w:left="487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430242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 in a larger and broader value chain:</w:t>
            </w:r>
          </w:p>
          <w:p w:rsidR="00430242" w:rsidRPr="00F47EAC" w:rsidRDefault="00430242" w:rsidP="004302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EAC">
              <w:t>IPCC WG I</w:t>
            </w:r>
          </w:p>
          <w:p w:rsidR="00430242" w:rsidRPr="00F47EAC" w:rsidRDefault="00430242" w:rsidP="004302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EAC">
              <w:t>IOC regional levels</w:t>
            </w:r>
          </w:p>
          <w:p w:rsidR="00430242" w:rsidRPr="002A6F5C" w:rsidRDefault="00430242" w:rsidP="004302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EAC">
              <w:t>IPCC WG II on regions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430242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D/GCOS</w:t>
            </w:r>
          </w:p>
          <w:p w:rsidR="00430242" w:rsidRPr="002A6F5C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0242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Ongoing/Done</w:t>
            </w:r>
          </w:p>
        </w:tc>
      </w:tr>
      <w:tr w:rsidR="00430242" w:rsidRPr="002A6F5C" w:rsidTr="001153C7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430242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more active in the IPCC review process:</w:t>
            </w:r>
          </w:p>
          <w:p w:rsidR="00430242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review on IPCC special reports (on panel level, by individuals. Panel members to sign in actively in the review process and capture gaps and misquotations.</w:t>
            </w:r>
          </w:p>
          <w:p w:rsidR="00430242" w:rsidRPr="002A6F5C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to submit as a group relevant information, someone will need to collect these comments.</w:t>
            </w:r>
          </w:p>
        </w:tc>
        <w:tc>
          <w:tcPr>
            <w:tcW w:w="1985" w:type="dxa"/>
          </w:tcPr>
          <w:p w:rsidR="00430242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GCOS Sec with Panel Chairpersons. </w:t>
            </w:r>
          </w:p>
          <w:p w:rsidR="00430242" w:rsidRPr="002A6F5C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Valentin Aich </w:t>
            </w:r>
            <w:r w:rsidRPr="00F47EAC">
              <w:t>to keep track on deadlines for reviews.</w:t>
            </w:r>
          </w:p>
        </w:tc>
        <w:tc>
          <w:tcPr>
            <w:tcW w:w="1985" w:type="dxa"/>
          </w:tcPr>
          <w:p w:rsidR="00430242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4302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430242" w:rsidRPr="002A6F5C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CAA">
              <w:t>Specific from IOC: GCOS to help designing the UN Decade of ocean Science for sustainable development 2021- 2030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1153C7" w:rsidRDefault="001153C7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IOC GOOS Director with D/GCOS </w:t>
            </w:r>
          </w:p>
          <w:p w:rsidR="00430242" w:rsidRPr="002A6F5C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57D"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0242" w:rsidRPr="0010257D" w:rsidRDefault="003C29C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C2">
              <w:t>Done</w:t>
            </w:r>
          </w:p>
        </w:tc>
      </w:tr>
      <w:tr w:rsidR="004302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430242" w:rsidRPr="00826C8E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C8E">
              <w:t>Follow-up on the UNEP offer of a staff to work with GCOS</w:t>
            </w:r>
          </w:p>
        </w:tc>
        <w:tc>
          <w:tcPr>
            <w:tcW w:w="1985" w:type="dxa"/>
          </w:tcPr>
          <w:p w:rsidR="001153C7" w:rsidRDefault="001153C7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D/GCOS </w:t>
            </w:r>
          </w:p>
          <w:p w:rsidR="00430242" w:rsidRPr="0010257D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3C7">
              <w:rPr>
                <w:bCs/>
              </w:rPr>
              <w:t>Carolin Richter</w:t>
            </w:r>
          </w:p>
        </w:tc>
        <w:tc>
          <w:tcPr>
            <w:tcW w:w="1985" w:type="dxa"/>
          </w:tcPr>
          <w:p w:rsidR="00430242" w:rsidRPr="00E84D42" w:rsidRDefault="003C29C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3C29C2">
              <w:rPr>
                <w:bCs/>
              </w:rPr>
              <w:t>Done</w:t>
            </w:r>
          </w:p>
        </w:tc>
      </w:tr>
      <w:tr w:rsidR="004302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430242" w:rsidRPr="00572CAA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157">
              <w:t>Green Climate Fund – follow up. GCOS should submit on behalf of all 4 sponsors, which might be a big strength.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430242" w:rsidRPr="0010257D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157">
              <w:t>D/GCOS in cooperation with sponsors.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0242" w:rsidRPr="001C3157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Done. GCF not interested in this kind of projects</w:t>
            </w:r>
          </w:p>
        </w:tc>
      </w:tr>
      <w:tr w:rsidR="004302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430242" w:rsidRPr="00572CAA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157">
              <w:t>WIGOS: develop guidance material for countries for national observation, have GCOS looking at it. GCOS as a key partner.</w:t>
            </w:r>
          </w:p>
        </w:tc>
        <w:tc>
          <w:tcPr>
            <w:tcW w:w="1985" w:type="dxa"/>
          </w:tcPr>
          <w:p w:rsidR="00430242" w:rsidRPr="001C3157" w:rsidRDefault="004302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157">
              <w:t>GCOS Sec with WIGOS PO</w:t>
            </w:r>
          </w:p>
          <w:p w:rsidR="00430242" w:rsidRPr="0010257D" w:rsidRDefault="004302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157">
              <w:t>Caterina Tassone</w:t>
            </w:r>
          </w:p>
        </w:tc>
        <w:tc>
          <w:tcPr>
            <w:tcW w:w="1985" w:type="dxa"/>
          </w:tcPr>
          <w:p w:rsidR="00430242" w:rsidRDefault="004302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  <w:p w:rsidR="00430242" w:rsidRPr="001C3157" w:rsidRDefault="004302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02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30242" w:rsidRPr="001C3157" w:rsidRDefault="004302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430242" w:rsidRPr="00572CAA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157">
              <w:t>UNFCCC adaptation fund: Check on possibility whether every year the GCOS state should be reviewed during the UNFCCC conference.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430242" w:rsidRPr="001C3157" w:rsidRDefault="00430242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157">
              <w:t>GCOS Sec with UNFCCC Sec</w:t>
            </w:r>
          </w:p>
          <w:p w:rsidR="00430242" w:rsidRPr="0010257D" w:rsidRDefault="004302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157">
              <w:t>Carolin Richter, Simon Eggleston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0242" w:rsidRPr="001C3157" w:rsidRDefault="00430242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Done. </w:t>
            </w:r>
          </w:p>
        </w:tc>
      </w:tr>
      <w:tr w:rsidR="009B50E1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Recommendation to build upon bilateral cooperation. </w:t>
            </w:r>
          </w:p>
          <w:p w:rsidR="009B50E1" w:rsidRPr="001C3157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to develop Guidance according to the GCOS guidelines.</w:t>
            </w:r>
          </w:p>
        </w:tc>
        <w:tc>
          <w:tcPr>
            <w:tcW w:w="1985" w:type="dxa"/>
          </w:tcPr>
          <w:p w:rsidR="001153C7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0E1">
              <w:t>D/GCOS</w:t>
            </w:r>
          </w:p>
          <w:p w:rsidR="009B50E1" w:rsidRPr="001C3157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0E1">
              <w:t xml:space="preserve"> Carolin Richter</w:t>
            </w:r>
          </w:p>
        </w:tc>
        <w:tc>
          <w:tcPr>
            <w:tcW w:w="1985" w:type="dxa"/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workshop are in cooperation with other agencies.</w:t>
            </w:r>
          </w:p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9B50E1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9B50E1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what are the high key impacts products of GCOS and how it could deliver? How to impress policy makers? What are the core services that this program can provide?</w:t>
            </w:r>
          </w:p>
          <w:p w:rsidR="009B50E1" w:rsidRPr="001C3157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case studies, and have it run through all levels.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9B50E1" w:rsidRPr="001C3157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0E1">
              <w:t>GCOS Sec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50E1" w:rsidRDefault="001153C7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  <w:p w:rsidR="001153C7" w:rsidRDefault="001153C7" w:rsidP="00466CAC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Doc</w:t>
            </w:r>
            <w:r w:rsidR="00466CAC">
              <w:t xml:space="preserve">. “11b_GCOS Objectives &amp; Functionalities” </w:t>
            </w:r>
          </w:p>
        </w:tc>
      </w:tr>
      <w:tr w:rsidR="009B50E1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to motivate host for SC to organize a national GCOS Science Day. </w:t>
            </w:r>
          </w:p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how China benefitted from GCOS and how GCOS helped on a political level.</w:t>
            </w:r>
          </w:p>
        </w:tc>
        <w:tc>
          <w:tcPr>
            <w:tcW w:w="1985" w:type="dxa"/>
          </w:tcPr>
          <w:p w:rsidR="001153C7" w:rsidRDefault="001153C7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D/GCOS </w:t>
            </w:r>
          </w:p>
          <w:p w:rsidR="009B50E1" w:rsidRPr="009B50E1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0E1">
              <w:t>Carolin Richter</w:t>
            </w:r>
          </w:p>
        </w:tc>
        <w:tc>
          <w:tcPr>
            <w:tcW w:w="1985" w:type="dxa"/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9B50E1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9B50E1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new ECV, Evaporation.</w:t>
            </w:r>
          </w:p>
          <w:p w:rsidR="009B50E1" w:rsidRPr="001C3157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to be informed on web page, where online version can be found. Record on SC report.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9B50E1" w:rsidRDefault="009B50E1" w:rsidP="009B50E1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GCOS Sec TOPC </w:t>
            </w:r>
          </w:p>
          <w:p w:rsidR="009B50E1" w:rsidRPr="001C3157" w:rsidRDefault="009B50E1" w:rsidP="009B50E1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Simon Eggleston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9B50E1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9B50E1" w:rsidRPr="001C3157" w:rsidRDefault="009B50E1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0E1">
              <w:t>Produce 54 fact sheets, one for each ECVs</w:t>
            </w:r>
          </w:p>
        </w:tc>
        <w:tc>
          <w:tcPr>
            <w:tcW w:w="1985" w:type="dxa"/>
          </w:tcPr>
          <w:p w:rsidR="009B50E1" w:rsidRPr="001C3157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0E1">
              <w:t>GCOS Sec with new UNEP staff.</w:t>
            </w:r>
          </w:p>
        </w:tc>
        <w:tc>
          <w:tcPr>
            <w:tcW w:w="1985" w:type="dxa"/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9B50E1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9B50E1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ECV Requirement Definitions: Panels to be able to explain why this number has been chosen. The panels have different approaches to the ECV requirements. </w:t>
            </w:r>
          </w:p>
          <w:p w:rsidR="009B50E1" w:rsidRPr="001C3157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this information to the on-line version of the table where a better definition is been made. Panel chairpersons to check if this description is clear.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9B50E1" w:rsidRPr="001C3157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0E1">
              <w:t>GCOS Sec with all Panels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9B50E1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membership:</w:t>
            </w:r>
          </w:p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criteria for calling in new members: Bending criteria in order to make the panel fit.</w:t>
            </w:r>
          </w:p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up to PhD and post docs for subject matter experts.</w:t>
            </w:r>
          </w:p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the active technical experts.</w:t>
            </w:r>
          </w:p>
          <w:p w:rsidR="009B50E1" w:rsidRDefault="009B50E1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Encourage Panel members to nominate people (say 3 names); they should Contact IGAC for suggestions on gender and geographic diversity search out in the community. Turn to GCOS focal points and GOS coordinators.</w:t>
            </w:r>
          </w:p>
        </w:tc>
        <w:tc>
          <w:tcPr>
            <w:tcW w:w="1985" w:type="dxa"/>
          </w:tcPr>
          <w:p w:rsidR="009B50E1" w:rsidRDefault="009B50E1" w:rsidP="009B50E1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Sec with all Panels</w:t>
            </w:r>
          </w:p>
          <w:p w:rsidR="009B50E1" w:rsidRPr="009B50E1" w:rsidRDefault="009B50E1" w:rsidP="009B50E1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Chairpersons.</w:t>
            </w:r>
          </w:p>
        </w:tc>
        <w:tc>
          <w:tcPr>
            <w:tcW w:w="1985" w:type="dxa"/>
          </w:tcPr>
          <w:p w:rsidR="001153C7" w:rsidRDefault="001153C7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  <w:p w:rsidR="001153C7" w:rsidRPr="001153C7" w:rsidRDefault="003C29C2" w:rsidP="001153C7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153C7">
              <w:t>ToR</w:t>
            </w:r>
            <w:proofErr w:type="spellEnd"/>
            <w:r w:rsidRPr="001153C7">
              <w:t xml:space="preserve"> for </w:t>
            </w:r>
            <w:r w:rsidR="001153C7">
              <w:t>panel members.</w:t>
            </w:r>
          </w:p>
          <w:p w:rsidR="009B50E1" w:rsidRDefault="003C29C2" w:rsidP="003C29C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3C7">
              <w:t>Included in the agenda for SC-26</w:t>
            </w:r>
          </w:p>
        </w:tc>
      </w:tr>
      <w:tr w:rsidR="009B50E1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9B50E1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OSCAR: Can the implementation of the three panel requirements in OSCAR be harmonised?</w:t>
            </w:r>
          </w:p>
          <w:p w:rsidR="009B50E1" w:rsidRDefault="009B50E1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GCOS panel representatives (from GCOS Secretariat) who can speak across the panel; provide guidance from OSCAR back to panels.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9B50E1" w:rsidRPr="009B50E1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0E1">
              <w:t xml:space="preserve">GCOS Sec to look for such a </w:t>
            </w:r>
            <w:proofErr w:type="spellStart"/>
            <w:r w:rsidRPr="009B50E1">
              <w:t>repr</w:t>
            </w:r>
            <w:proofErr w:type="spellEnd"/>
            <w:r w:rsidRPr="009B50E1">
              <w:t>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50E1" w:rsidRDefault="009B50E1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9B50E1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9B50E1" w:rsidRDefault="00A75A54" w:rsidP="009B50E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A54">
              <w:t>Joint TT on Metadata use of WIGOS. Invite a nomine of each of the panels to consider that.</w:t>
            </w:r>
          </w:p>
        </w:tc>
        <w:tc>
          <w:tcPr>
            <w:tcW w:w="1985" w:type="dxa"/>
          </w:tcPr>
          <w:p w:rsidR="009B50E1" w:rsidRPr="009B50E1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A54">
              <w:t>GCOS Sec with Panel Chairpersons</w:t>
            </w:r>
          </w:p>
        </w:tc>
        <w:tc>
          <w:tcPr>
            <w:tcW w:w="1985" w:type="dxa"/>
          </w:tcPr>
          <w:p w:rsidR="009B50E1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Send the WIGOS Metadata standards to the 3 panel members for comments on whether this is </w:t>
            </w:r>
            <w:r>
              <w:lastRenderedPageBreak/>
              <w:t>applicable to their domain/variables</w:t>
            </w:r>
            <w:r w:rsidR="003F32EC">
              <w:t>. Share comments with GCOS Sec</w:t>
            </w:r>
          </w:p>
        </w:tc>
      </w:tr>
      <w:tr w:rsidR="00A75A54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A75A54" w:rsidP="009B50E1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54">
              <w:t xml:space="preserve">TT on investigating the </w:t>
            </w:r>
            <w:proofErr w:type="spellStart"/>
            <w:r w:rsidRPr="00A75A54">
              <w:t>ToRs</w:t>
            </w:r>
            <w:proofErr w:type="spellEnd"/>
            <w:r w:rsidRPr="00A75A54">
              <w:t xml:space="preserve"> of OOPC with regard to delivering the physics to GOOS, but the more complex, and all-encompassing climate observations to GCOS: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A75A54" w:rsidRPr="009B50E1" w:rsidRDefault="00A75A54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54">
              <w:t>GCOS secretariat with GOOS office, OOPC co-chairs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Redundant. There is no task team. Superseded by direct contact (see report from bilateral meeting) (Katy to provide)</w:t>
            </w:r>
          </w:p>
        </w:tc>
      </w:tr>
      <w:tr w:rsidR="00A75A54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 a Task Force on Observations for Adaptation: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analyse the UNFCCC process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Identify events to which we can contribute and at which can be called upon to explain GCOS input. 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on future climate indicators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Possibly output could be a special report as an input – or on the climate indicators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Members: Sybil </w:t>
            </w:r>
            <w:proofErr w:type="spellStart"/>
            <w:r>
              <w:t>Seitzinger</w:t>
            </w:r>
            <w:proofErr w:type="spellEnd"/>
            <w:r>
              <w:t xml:space="preserve"> , Florin </w:t>
            </w:r>
            <w:proofErr w:type="spellStart"/>
            <w:r>
              <w:t>Vladu</w:t>
            </w:r>
            <w:proofErr w:type="spellEnd"/>
            <w:r>
              <w:t xml:space="preserve"> (as expert), </w:t>
            </w:r>
            <w:proofErr w:type="spellStart"/>
            <w:r>
              <w:t>Youba</w:t>
            </w:r>
            <w:proofErr w:type="spellEnd"/>
            <w:r>
              <w:t xml:space="preserve"> </w:t>
            </w:r>
            <w:proofErr w:type="spellStart"/>
            <w:r>
              <w:t>Sokona</w:t>
            </w:r>
            <w:proofErr w:type="spellEnd"/>
            <w:r>
              <w:t xml:space="preserve">, </w:t>
            </w:r>
            <w:proofErr w:type="spellStart"/>
            <w:r>
              <w:t>Qinchen</w:t>
            </w:r>
            <w:proofErr w:type="spellEnd"/>
            <w:r>
              <w:t xml:space="preserve"> Chao, Stephen Briggs, Han Dolman, Michel </w:t>
            </w:r>
            <w:proofErr w:type="spellStart"/>
            <w:r>
              <w:t>Verstraete</w:t>
            </w:r>
            <w:proofErr w:type="spellEnd"/>
            <w:r>
              <w:t xml:space="preserve">, Rodney Martinez (who has bene </w:t>
            </w:r>
            <w:proofErr w:type="spellStart"/>
            <w:r>
              <w:t>volunteerd</w:t>
            </w:r>
            <w:proofErr w:type="spellEnd"/>
            <w:r>
              <w:t xml:space="preserve"> in his absence as he is the chair of the </w:t>
            </w:r>
            <w:proofErr w:type="spellStart"/>
            <w:r>
              <w:t>CCl</w:t>
            </w:r>
            <w:proofErr w:type="spellEnd"/>
            <w:r>
              <w:t xml:space="preserve"> working group on societal benefits)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 charge for this group</w:t>
            </w:r>
          </w:p>
        </w:tc>
        <w:tc>
          <w:tcPr>
            <w:tcW w:w="1985" w:type="dxa"/>
          </w:tcPr>
          <w:p w:rsidR="00A75A54" w:rsidRPr="009B50E1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A54">
              <w:t>SC Chairman / D/GCOS</w:t>
            </w:r>
          </w:p>
        </w:tc>
        <w:tc>
          <w:tcPr>
            <w:tcW w:w="1985" w:type="dxa"/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9B50E1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0E1" w:rsidRPr="001C3157" w:rsidRDefault="009B50E1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9B50E1" w:rsidRPr="001C3157" w:rsidRDefault="00A75A54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54">
              <w:t>Draft GCOS Statement to SBSTA 47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D/GCOS</w:t>
            </w:r>
          </w:p>
          <w:p w:rsidR="009B50E1" w:rsidRPr="001C3157" w:rsidRDefault="00A75A54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50E1" w:rsidRDefault="00A75A54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A75A54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indicators agreed by SC25: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  <w:r>
              <w:tab/>
              <w:t>Surface Temperature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  <w:r>
              <w:tab/>
              <w:t>Ocean Heat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  <w:r>
              <w:tab/>
              <w:t>Atmosphere CO2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  <w:r>
              <w:tab/>
              <w:t>Sea Level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  <w:r>
              <w:tab/>
              <w:t>Ocean Acidification</w:t>
            </w:r>
          </w:p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  <w:r>
              <w:tab/>
              <w:t>Arctic (6a) and Antarctic (6b) Sea Ice Extent</w:t>
            </w:r>
          </w:p>
          <w:p w:rsidR="00A75A54" w:rsidRPr="001C3157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</w:t>
            </w:r>
            <w:r>
              <w:tab/>
              <w:t>Glacier Change</w:t>
            </w:r>
          </w:p>
        </w:tc>
        <w:tc>
          <w:tcPr>
            <w:tcW w:w="1985" w:type="dxa"/>
          </w:tcPr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Secretariat.</w:t>
            </w:r>
          </w:p>
          <w:p w:rsidR="00A75A54" w:rsidRPr="001C3157" w:rsidRDefault="00A75A54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Carolin </w:t>
            </w:r>
            <w:r w:rsidR="001153C7">
              <w:t xml:space="preserve">Richter </w:t>
            </w:r>
            <w:r>
              <w:t xml:space="preserve">to communicate to WMO; Valentin </w:t>
            </w:r>
            <w:r w:rsidR="001153C7">
              <w:t xml:space="preserve">Aich </w:t>
            </w:r>
            <w:r>
              <w:t xml:space="preserve">to work on the website and </w:t>
            </w:r>
            <w:proofErr w:type="spellStart"/>
            <w:r>
              <w:t>infograph</w:t>
            </w:r>
            <w:proofErr w:type="spellEnd"/>
          </w:p>
        </w:tc>
        <w:tc>
          <w:tcPr>
            <w:tcW w:w="1985" w:type="dxa"/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A75A54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Build partnerships with relevant partners for regional workshops and synchronize with other workshops of partners like IPCC, GFCS, UNDP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Share experience from early Workshops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Strengthen the national coordinators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Contact the group of negotiators, chair is from Mali. 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Committee African Climate Change. 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UNDP is waiting for scientific support.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Establish at upcoming COP a contact.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Contact Chair of the African Climate Change centre 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 xml:space="preserve">Inform Chair of LEG and ask for advice </w:t>
            </w:r>
          </w:p>
          <w:p w:rsidR="00A75A54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Contact EUMETSATs UFA</w:t>
            </w:r>
          </w:p>
          <w:p w:rsidR="00A75A54" w:rsidRPr="001C3157" w:rsidRDefault="00A75A54" w:rsidP="00A75A5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ab/>
              <w:t>Contact Asia-Oceanic User Satellite Conference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GCOS Secretariat</w:t>
            </w:r>
          </w:p>
          <w:p w:rsidR="00A75A54" w:rsidRPr="001C3157" w:rsidRDefault="00A75A54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Simon Eggleston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A75A54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A75A54" w:rsidRPr="001C3157" w:rsidRDefault="00A75A54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A54">
              <w:t>Look for skills which enables GCOS to submit the right project proposals.</w:t>
            </w:r>
          </w:p>
        </w:tc>
        <w:tc>
          <w:tcPr>
            <w:tcW w:w="1985" w:type="dxa"/>
          </w:tcPr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GCOS Secretariat</w:t>
            </w:r>
          </w:p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 Oakley</w:t>
            </w:r>
          </w:p>
          <w:p w:rsidR="00A75A54" w:rsidRPr="001C3157" w:rsidRDefault="00A75A54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Task Force</w:t>
            </w:r>
          </w:p>
        </w:tc>
        <w:tc>
          <w:tcPr>
            <w:tcW w:w="1985" w:type="dxa"/>
          </w:tcPr>
          <w:p w:rsidR="003C29C2" w:rsidRDefault="003C29C2" w:rsidP="003C29C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153C7">
              <w:t>Open</w:t>
            </w:r>
          </w:p>
          <w:p w:rsidR="00A75A54" w:rsidRDefault="003C29C2" w:rsidP="003C29C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3C7">
              <w:t>Included in the agenda for SC-26</w:t>
            </w:r>
          </w:p>
        </w:tc>
      </w:tr>
      <w:tr w:rsidR="00A75A54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A75A54" w:rsidRPr="00A75A54" w:rsidRDefault="00A75A54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54">
              <w:t>WIGOS newsletter: GCOS article on the SC meeting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A75A54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54">
              <w:t>SC chairman and GCOS Secretariat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5A54" w:rsidRDefault="001153C7" w:rsidP="001153C7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</w:tr>
      <w:tr w:rsidR="00A75A54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CCl</w:t>
            </w:r>
            <w:proofErr w:type="spellEnd"/>
            <w:r>
              <w:t>: 9-10 October 2017 @WMO, meeting on the statement of climate: ensure attendance</w:t>
            </w:r>
          </w:p>
          <w:p w:rsidR="00A75A54" w:rsidRPr="00A75A54" w:rsidRDefault="00A75A54" w:rsidP="00A75A5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Raise issue of having a UNFCCC representative at the meeting in future?</w:t>
            </w:r>
          </w:p>
        </w:tc>
        <w:tc>
          <w:tcPr>
            <w:tcW w:w="1985" w:type="dxa"/>
          </w:tcPr>
          <w:p w:rsidR="00A75A54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GCOS Secretariat</w:t>
            </w:r>
          </w:p>
        </w:tc>
        <w:tc>
          <w:tcPr>
            <w:tcW w:w="1985" w:type="dxa"/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A75A54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75A54" w:rsidRPr="001C3157" w:rsidRDefault="00A75A54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A75A54" w:rsidRPr="00A75A54" w:rsidRDefault="00E84D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GOOS: GOOS Strategy: GCOS will asked to provide input to the GOOS strategy: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A75A54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 xml:space="preserve">Michael Zemp, Sybil </w:t>
            </w:r>
            <w:proofErr w:type="spellStart"/>
            <w:r w:rsidRPr="00E84D42">
              <w:t>Seitzsinger</w:t>
            </w:r>
            <w:proofErr w:type="spellEnd"/>
            <w:r w:rsidRPr="00E84D42">
              <w:t xml:space="preserve">, Sue Barrell, Johnny </w:t>
            </w:r>
            <w:proofErr w:type="spellStart"/>
            <w:r w:rsidRPr="00E84D42">
              <w:t>Johanessen</w:t>
            </w:r>
            <w:proofErr w:type="spellEnd"/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5A54" w:rsidRDefault="00A75A54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E84D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E84D42" w:rsidRPr="00E84D42" w:rsidRDefault="00E84D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Ocean Obs19: Engage with committees</w:t>
            </w:r>
          </w:p>
        </w:tc>
        <w:tc>
          <w:tcPr>
            <w:tcW w:w="1985" w:type="dxa"/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Han Dolman</w:t>
            </w:r>
          </w:p>
        </w:tc>
        <w:tc>
          <w:tcPr>
            <w:tcW w:w="1985" w:type="dxa"/>
          </w:tcPr>
          <w:p w:rsidR="00E84D42" w:rsidRDefault="002E0B84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report at SC 2018</w:t>
            </w:r>
            <w:bookmarkStart w:id="0" w:name="_GoBack"/>
            <w:bookmarkEnd w:id="0"/>
          </w:p>
        </w:tc>
      </w:tr>
      <w:tr w:rsidR="00E84D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E84D42" w:rsidRPr="00E84D42" w:rsidRDefault="00E84D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Interface GCOS and GOOS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E84D42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D/GCOS</w:t>
            </w:r>
          </w:p>
          <w:p w:rsidR="001153C7" w:rsidRPr="00E84D42" w:rsidRDefault="001153C7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4D42" w:rsidRDefault="003C29C2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C2">
              <w:t>Done</w:t>
            </w:r>
          </w:p>
        </w:tc>
      </w:tr>
      <w:tr w:rsidR="00E84D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E84D42" w:rsidRPr="00E84D42" w:rsidRDefault="00E84D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Review space agencies response to the GCOS IP</w:t>
            </w:r>
          </w:p>
        </w:tc>
        <w:tc>
          <w:tcPr>
            <w:tcW w:w="1985" w:type="dxa"/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Chair AOPC to share the draft with OOPC and TOPC, deadline 13</w:t>
            </w:r>
            <w:r>
              <w:t xml:space="preserve"> October 2017</w:t>
            </w:r>
          </w:p>
        </w:tc>
        <w:tc>
          <w:tcPr>
            <w:tcW w:w="1985" w:type="dxa"/>
          </w:tcPr>
          <w:p w:rsidR="00E84D42" w:rsidRDefault="00E84D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E84D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E84D42" w:rsidRPr="00E84D42" w:rsidRDefault="00E84D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Address to WG Climate: nominate a rapporteur on space matters to the GCOS SC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E84D42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D/GCOS</w:t>
            </w:r>
          </w:p>
          <w:p w:rsidR="001153C7" w:rsidRPr="00E84D42" w:rsidRDefault="001153C7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4D42" w:rsidRDefault="001153C7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3C7">
              <w:t>Open</w:t>
            </w:r>
          </w:p>
        </w:tc>
      </w:tr>
      <w:tr w:rsidR="00E84D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E84D42" w:rsidRPr="00E84D42" w:rsidRDefault="00E84D42" w:rsidP="00E84D42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 xml:space="preserve">Land </w:t>
            </w:r>
            <w:proofErr w:type="spellStart"/>
            <w:r w:rsidRPr="00E84D42">
              <w:t>Obs</w:t>
            </w:r>
            <w:proofErr w:type="spellEnd"/>
            <w:r w:rsidRPr="00E84D42">
              <w:t xml:space="preserve"> System: what partnership should be covered on a strategic and what on working level?</w:t>
            </w:r>
          </w:p>
        </w:tc>
        <w:tc>
          <w:tcPr>
            <w:tcW w:w="1985" w:type="dxa"/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SC Chair / DGCOS with SC members, by email</w:t>
            </w:r>
          </w:p>
        </w:tc>
        <w:tc>
          <w:tcPr>
            <w:tcW w:w="1985" w:type="dxa"/>
          </w:tcPr>
          <w:p w:rsidR="00E84D42" w:rsidRDefault="001153C7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</w:tr>
      <w:tr w:rsidR="00E84D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E84D42" w:rsidRPr="00E84D42" w:rsidRDefault="00E84D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Prepare Strategy document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1153C7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D</w:t>
            </w:r>
            <w:r w:rsidR="001153C7">
              <w:t>/GCOS</w:t>
            </w:r>
          </w:p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4D42" w:rsidRDefault="00E84D42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E84D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E84D42" w:rsidRPr="00E84D42" w:rsidRDefault="00E84D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Follow up on recommendation of communication strategy</w:t>
            </w:r>
          </w:p>
        </w:tc>
        <w:tc>
          <w:tcPr>
            <w:tcW w:w="1985" w:type="dxa"/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GCOS Secretariat</w:t>
            </w:r>
          </w:p>
        </w:tc>
        <w:tc>
          <w:tcPr>
            <w:tcW w:w="1985" w:type="dxa"/>
          </w:tcPr>
          <w:p w:rsidR="00E84D42" w:rsidRDefault="00E84D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E84D42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E84D42" w:rsidRPr="00E84D42" w:rsidRDefault="00E84D42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Web page: link into the major stakeholders and into the sponsors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D42">
              <w:t>GCOS Secretariat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4D42" w:rsidRDefault="001153C7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E84D42" w:rsidRPr="002A6F5C" w:rsidTr="001153C7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E84D42" w:rsidRPr="001C3157" w:rsidRDefault="00E84D42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</w:tcPr>
          <w:p w:rsidR="00E84D42" w:rsidRPr="00E84D42" w:rsidRDefault="00E84D42" w:rsidP="00430242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Develop a Tag line</w:t>
            </w:r>
          </w:p>
        </w:tc>
        <w:tc>
          <w:tcPr>
            <w:tcW w:w="1985" w:type="dxa"/>
          </w:tcPr>
          <w:p w:rsidR="00E84D42" w:rsidRPr="00E84D42" w:rsidRDefault="00E84D42" w:rsidP="00A75A54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D42">
              <w:t>GCOS Secretariat</w:t>
            </w:r>
          </w:p>
        </w:tc>
        <w:tc>
          <w:tcPr>
            <w:tcW w:w="1985" w:type="dxa"/>
          </w:tcPr>
          <w:p w:rsidR="00E84D42" w:rsidRDefault="00E84D42" w:rsidP="00430242">
            <w:pPr>
              <w:tabs>
                <w:tab w:val="center" w:pos="4320"/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1153C7" w:rsidRPr="002A6F5C" w:rsidTr="0011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153C7" w:rsidRPr="001C3157" w:rsidRDefault="001153C7" w:rsidP="00430242">
            <w:pPr>
              <w:pStyle w:val="Header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1153C7" w:rsidRPr="00E84D42" w:rsidRDefault="001153C7" w:rsidP="00430242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32EC">
              <w:t>Continue fundraising: members, agencies, GCF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1153C7" w:rsidRDefault="001153C7" w:rsidP="001153C7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D/GCOS </w:t>
            </w:r>
          </w:p>
          <w:p w:rsidR="001153C7" w:rsidRPr="00E84D42" w:rsidRDefault="001153C7" w:rsidP="001153C7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 Richter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53C7" w:rsidRDefault="001153C7" w:rsidP="00430242">
            <w:pPr>
              <w:tabs>
                <w:tab w:val="center" w:pos="432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</w:tbl>
    <w:p w:rsidR="00F91127" w:rsidRDefault="00F91127"/>
    <w:sectPr w:rsidR="00F91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57E2"/>
    <w:multiLevelType w:val="hybridMultilevel"/>
    <w:tmpl w:val="97566D66"/>
    <w:lvl w:ilvl="0" w:tplc="71CE5F36">
      <w:start w:val="1"/>
      <w:numFmt w:val="decimal"/>
      <w:lvlText w:val="SC-25/%1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42"/>
    <w:rsid w:val="001153C7"/>
    <w:rsid w:val="002E0B84"/>
    <w:rsid w:val="003C29C2"/>
    <w:rsid w:val="003F32EC"/>
    <w:rsid w:val="00430242"/>
    <w:rsid w:val="00466CAC"/>
    <w:rsid w:val="009B50E1"/>
    <w:rsid w:val="00A75A54"/>
    <w:rsid w:val="00E84D42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42"/>
    <w:pPr>
      <w:tabs>
        <w:tab w:val="left" w:pos="327"/>
      </w:tabs>
      <w:spacing w:after="120"/>
    </w:pPr>
    <w:rPr>
      <w:rFonts w:eastAsia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42"/>
    <w:rPr>
      <w:rFonts w:eastAsia="Times New Roman" w:cs="Times New Roman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430242"/>
  </w:style>
  <w:style w:type="character" w:customStyle="1" w:styleId="NoSpacingChar">
    <w:name w:val="No Spacing Char"/>
    <w:link w:val="NoSpacing"/>
    <w:uiPriority w:val="1"/>
    <w:rsid w:val="00430242"/>
    <w:rPr>
      <w:rFonts w:eastAsia="Times New Roman" w:cs="Times New Roman"/>
      <w:lang w:val="en-GB" w:eastAsia="en-US"/>
    </w:rPr>
  </w:style>
  <w:style w:type="table" w:styleId="LightList-Accent1">
    <w:name w:val="Light List Accent 1"/>
    <w:basedOn w:val="TableNormal"/>
    <w:uiPriority w:val="61"/>
    <w:rsid w:val="00430242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42"/>
    <w:pPr>
      <w:tabs>
        <w:tab w:val="left" w:pos="327"/>
      </w:tabs>
      <w:spacing w:after="120"/>
    </w:pPr>
    <w:rPr>
      <w:rFonts w:eastAsia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42"/>
    <w:rPr>
      <w:rFonts w:eastAsia="Times New Roman" w:cs="Times New Roman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430242"/>
  </w:style>
  <w:style w:type="character" w:customStyle="1" w:styleId="NoSpacingChar">
    <w:name w:val="No Spacing Char"/>
    <w:link w:val="NoSpacing"/>
    <w:uiPriority w:val="1"/>
    <w:rsid w:val="00430242"/>
    <w:rPr>
      <w:rFonts w:eastAsia="Times New Roman" w:cs="Times New Roman"/>
      <w:lang w:val="en-GB" w:eastAsia="en-US"/>
    </w:rPr>
  </w:style>
  <w:style w:type="table" w:styleId="LightList-Accent1">
    <w:name w:val="Light List Accent 1"/>
    <w:basedOn w:val="TableNormal"/>
    <w:uiPriority w:val="61"/>
    <w:rsid w:val="00430242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Tassone</dc:creator>
  <cp:lastModifiedBy>Valentin Aich</cp:lastModifiedBy>
  <cp:revision>5</cp:revision>
  <dcterms:created xsi:type="dcterms:W3CDTF">2018-10-11T08:39:00Z</dcterms:created>
  <dcterms:modified xsi:type="dcterms:W3CDTF">2018-10-11T14:31:00Z</dcterms:modified>
</cp:coreProperties>
</file>